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11798</w:t>
      </w:r>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 xml:space="preserve">Toulouse, France, Aug 21 </w:t>
      </w:r>
      <w:r>
        <w:rPr>
          <w:rFonts w:hint="eastAsia" w:ascii="Arial" w:hAnsi="Arial" w:cs="Arial"/>
          <w:b/>
          <w:bCs/>
          <w:lang w:val="en-US" w:eastAsia="zh-CN"/>
        </w:rPr>
        <w:t>-</w:t>
      </w:r>
      <w:r>
        <w:rPr>
          <w:rFonts w:hint="eastAsia" w:ascii="Arial" w:hAnsi="Arial" w:cs="Arial"/>
          <w:b/>
          <w:bCs/>
        </w:rPr>
        <w:t xml:space="preserve"> Aug 25, 2023</w:t>
      </w: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w:t>
      </w:r>
      <w:r>
        <w:rPr>
          <w:rFonts w:hint="eastAsia"/>
          <w:sz w:val="22"/>
        </w:rPr>
        <w:t>.1</w:t>
      </w:r>
      <w:r>
        <w:rPr>
          <w:rFonts w:hint="eastAsia"/>
          <w:sz w:val="22"/>
          <w:lang w:val="en-US" w:eastAsia="zh-CN"/>
        </w:rPr>
        <w:t>3</w:t>
      </w:r>
      <w:r>
        <w:rPr>
          <w:sz w:val="22"/>
        </w:rPr>
        <w:t>.5.3</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BS demodulation requirements for AT</w:t>
      </w:r>
      <w:bookmarkEnd w:id="3"/>
      <w:r>
        <w:rPr>
          <w:sz w:val="22"/>
        </w:rPr>
        <w:t>G scenario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 xml:space="preserve">In last meeting, RAN4 has agreed </w:t>
      </w:r>
      <w:r>
        <w:rPr>
          <w:rFonts w:hint="eastAsia" w:eastAsia="宋体"/>
          <w:szCs w:val="20"/>
          <w:lang w:val="en-US" w:eastAsia="zh-CN"/>
        </w:rPr>
        <w:t>the</w:t>
      </w:r>
      <w:r>
        <w:rPr>
          <w:rFonts w:eastAsia="宋体"/>
          <w:szCs w:val="20"/>
          <w:lang w:eastAsia="zh-CN"/>
        </w:rPr>
        <w:t xml:space="preserve"> channel model</w:t>
      </w:r>
      <w:r>
        <w:rPr>
          <w:rFonts w:hint="eastAsia" w:eastAsia="宋体"/>
          <w:szCs w:val="20"/>
          <w:lang w:val="en-US" w:eastAsia="zh-CN"/>
        </w:rPr>
        <w:t>, doppler shift assumption, test scope and simulation assumptions</w:t>
      </w:r>
      <w:r>
        <w:rPr>
          <w:rFonts w:eastAsia="宋体"/>
          <w:szCs w:val="20"/>
          <w:lang w:eastAsia="zh-CN"/>
        </w:rPr>
        <w:t xml:space="preserve"> for UL demodulation requirements, </w:t>
      </w:r>
      <w:r>
        <w:rPr>
          <w:rFonts w:hint="eastAsia" w:eastAsia="宋体"/>
          <w:szCs w:val="20"/>
          <w:lang w:val="en-US" w:eastAsia="zh-CN"/>
        </w:rPr>
        <w:t>w</w:t>
      </w:r>
      <w:r>
        <w:rPr>
          <w:rFonts w:eastAsia="宋体"/>
          <w:szCs w:val="20"/>
          <w:lang w:eastAsia="zh-CN"/>
        </w:rPr>
        <w:t>e list the agreements for information</w:t>
      </w:r>
      <w:r>
        <w:rPr>
          <w:rFonts w:hint="eastAsia" w:eastAsia="宋体"/>
          <w:szCs w:val="20"/>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pPr>
              <w:rPr>
                <w:b/>
                <w:i/>
                <w:iCs/>
                <w:sz w:val="20"/>
                <w:szCs w:val="20"/>
                <w:u w:val="single"/>
                <w:lang w:eastAsia="ko-KR"/>
              </w:rPr>
            </w:pPr>
            <w:r>
              <w:rPr>
                <w:b/>
                <w:i/>
                <w:iCs/>
                <w:sz w:val="20"/>
                <w:szCs w:val="20"/>
                <w:u w:val="single"/>
                <w:lang w:eastAsia="ko-KR"/>
              </w:rPr>
              <w:t>Issue 1-1: Channel model:</w:t>
            </w:r>
          </w:p>
          <w:p>
            <w:pPr>
              <w:rPr>
                <w:rFonts w:eastAsiaTheme="minorEastAsia"/>
                <w:b/>
                <w:i/>
                <w:iCs/>
                <w:sz w:val="20"/>
                <w:szCs w:val="20"/>
              </w:rPr>
            </w:pPr>
            <w:r>
              <w:rPr>
                <w:rFonts w:hint="eastAsia"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Only consider single path AWGN channel with Doppler for ATG incremental requirements</w:t>
            </w:r>
          </w:p>
          <w:p>
            <w:pPr>
              <w:rPr>
                <w:b/>
                <w:i/>
                <w:iCs/>
                <w:sz w:val="20"/>
                <w:szCs w:val="20"/>
                <w:u w:val="single"/>
                <w:lang w:eastAsia="ko-KR"/>
              </w:rPr>
            </w:pPr>
            <w:r>
              <w:rPr>
                <w:b/>
                <w:i/>
                <w:iCs/>
                <w:sz w:val="20"/>
                <w:szCs w:val="20"/>
                <w:u w:val="single"/>
                <w:lang w:eastAsia="ko-KR"/>
              </w:rPr>
              <w:t>Issue 1-2: Doppler shift assumption:</w:t>
            </w:r>
          </w:p>
          <w:p>
            <w:pPr>
              <w:spacing w:after="60"/>
              <w:rPr>
                <w:rFonts w:eastAsiaTheme="minorEastAsia"/>
                <w:b/>
                <w:i/>
                <w:iCs/>
                <w:sz w:val="20"/>
                <w:szCs w:val="20"/>
              </w:rPr>
            </w:pPr>
            <w:r>
              <w:rPr>
                <w:rFonts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For FDD: Set Doppler as 200Hz for UL, 220Hz for DL</w:t>
            </w:r>
          </w:p>
          <w:p>
            <w:pPr>
              <w:numPr>
                <w:ilvl w:val="0"/>
                <w:numId w:val="4"/>
              </w:numPr>
              <w:spacing w:after="120"/>
              <w:rPr>
                <w:rFonts w:eastAsia="宋体"/>
                <w:i/>
                <w:iCs/>
                <w:sz w:val="20"/>
                <w:lang w:val="en-GB"/>
              </w:rPr>
            </w:pPr>
            <w:r>
              <w:rPr>
                <w:rFonts w:eastAsia="宋体"/>
                <w:i/>
                <w:iCs/>
                <w:sz w:val="20"/>
                <w:lang w:val="en-GB"/>
              </w:rPr>
              <w:t>For TDD: Set Doppler as 500Hz</w:t>
            </w:r>
          </w:p>
          <w:p>
            <w:pPr>
              <w:rPr>
                <w:b/>
                <w:i/>
                <w:iCs/>
                <w:sz w:val="20"/>
                <w:szCs w:val="20"/>
                <w:u w:val="single"/>
                <w:lang w:eastAsia="ko-KR"/>
              </w:rPr>
            </w:pPr>
            <w:r>
              <w:rPr>
                <w:b/>
                <w:i/>
                <w:iCs/>
                <w:sz w:val="20"/>
                <w:szCs w:val="20"/>
                <w:u w:val="single"/>
                <w:lang w:eastAsia="ko-KR"/>
              </w:rPr>
              <w:t>Issue 3-1-2: Bandwidth &amp; SCS</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For the test case which reusing existing requirements, reuse all channel bandwidth requirements in TS38.104 8.2.1 and</w:t>
            </w:r>
            <w:r>
              <w:rPr>
                <w:rFonts w:hint="eastAsia" w:cs="Times New Roman" w:eastAsiaTheme="minorEastAsia"/>
                <w:i/>
                <w:iCs/>
                <w:sz w:val="20"/>
                <w:szCs w:val="20"/>
              </w:rPr>
              <w:t xml:space="preserve"> </w:t>
            </w:r>
            <w:r>
              <w:rPr>
                <w:rFonts w:eastAsia="宋体" w:cs="Times New Roman"/>
                <w:i/>
                <w:iCs/>
                <w:sz w:val="20"/>
                <w:szCs w:val="20"/>
              </w:rPr>
              <w:t>8.2.3 for ATG PUSCH demodulation.</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For the new test case with new dedicated ATG requirement, use 5MHz for FDD and 10MHz for TDD.</w:t>
            </w:r>
          </w:p>
          <w:p>
            <w:pPr>
              <w:rPr>
                <w:b/>
                <w:i/>
                <w:iCs/>
                <w:sz w:val="20"/>
                <w:szCs w:val="20"/>
                <w:u w:val="single"/>
                <w:lang w:eastAsia="ko-KR"/>
              </w:rPr>
            </w:pPr>
            <w:r>
              <w:rPr>
                <w:b/>
                <w:i/>
                <w:iCs/>
                <w:sz w:val="20"/>
                <w:szCs w:val="20"/>
                <w:u w:val="single"/>
                <w:lang w:eastAsia="ko-KR"/>
              </w:rPr>
              <w:t>Issue 3-1-3: Antenna Configuration</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For the new test case with new dedicated ATG requirement, 1T2R for 1-C/1-H and 1T2R for 1-O.</w:t>
            </w:r>
          </w:p>
          <w:p>
            <w:pPr>
              <w:rPr>
                <w:b/>
                <w:i/>
                <w:iCs/>
                <w:sz w:val="20"/>
                <w:szCs w:val="20"/>
                <w:u w:val="single"/>
                <w:lang w:eastAsia="ko-KR"/>
              </w:rPr>
            </w:pPr>
            <w:r>
              <w:rPr>
                <w:b/>
                <w:i/>
                <w:iCs/>
                <w:sz w:val="20"/>
                <w:szCs w:val="20"/>
                <w:u w:val="single"/>
                <w:lang w:eastAsia="ko-KR"/>
              </w:rPr>
              <w:t>Issue 3-1-5: Transform precoding</w:t>
            </w:r>
          </w:p>
          <w:p>
            <w:pPr>
              <w:rPr>
                <w:rFonts w:eastAsiaTheme="minorEastAsia"/>
                <w:b/>
                <w:i/>
                <w:iCs/>
                <w:sz w:val="20"/>
                <w:szCs w:val="20"/>
              </w:rPr>
            </w:pPr>
            <w:r>
              <w:rPr>
                <w:rFonts w:eastAsiaTheme="minorEastAsia"/>
                <w:b/>
                <w:i/>
                <w:iCs/>
                <w:sz w:val="20"/>
                <w:szCs w:val="20"/>
              </w:rPr>
              <w:t>Agreement:</w:t>
            </w:r>
          </w:p>
          <w:p>
            <w:pPr>
              <w:pStyle w:val="75"/>
              <w:numPr>
                <w:ilvl w:val="0"/>
                <w:numId w:val="4"/>
              </w:numPr>
              <w:autoSpaceDN w:val="0"/>
              <w:spacing w:after="120"/>
              <w:ind w:firstLineChars="0"/>
              <w:rPr>
                <w:rFonts w:eastAsia="宋体"/>
                <w:i/>
                <w:iCs/>
                <w:sz w:val="20"/>
                <w:szCs w:val="20"/>
              </w:rPr>
            </w:pPr>
            <w:r>
              <w:rPr>
                <w:rFonts w:eastAsia="宋体"/>
                <w:i/>
                <w:iCs/>
                <w:sz w:val="20"/>
                <w:szCs w:val="20"/>
              </w:rPr>
              <w:t>Only consider CP-OFDM.</w:t>
            </w:r>
          </w:p>
          <w:p>
            <w:pPr>
              <w:rPr>
                <w:b/>
                <w:i/>
                <w:iCs/>
                <w:sz w:val="20"/>
                <w:szCs w:val="20"/>
                <w:u w:val="single"/>
                <w:lang w:eastAsia="ko-KR"/>
              </w:rPr>
            </w:pPr>
            <w:r>
              <w:rPr>
                <w:b/>
                <w:i/>
                <w:iCs/>
                <w:sz w:val="20"/>
                <w:szCs w:val="20"/>
                <w:u w:val="single"/>
                <w:lang w:eastAsia="ko-KR"/>
              </w:rPr>
              <w:t>Issue 3-1-6: PUSCH mapping type</w:t>
            </w:r>
          </w:p>
          <w:p>
            <w:pPr>
              <w:rPr>
                <w:rFonts w:eastAsiaTheme="minorEastAsia"/>
                <w:b/>
                <w:i/>
                <w:iCs/>
                <w:sz w:val="20"/>
                <w:szCs w:val="20"/>
              </w:rPr>
            </w:pPr>
            <w:r>
              <w:rPr>
                <w:rFonts w:eastAsiaTheme="minorEastAsia"/>
                <w:b/>
                <w:i/>
                <w:iCs/>
                <w:sz w:val="20"/>
                <w:szCs w:val="20"/>
              </w:rPr>
              <w:t>Agreement:</w:t>
            </w:r>
          </w:p>
          <w:p>
            <w:pPr>
              <w:pStyle w:val="75"/>
              <w:numPr>
                <w:ilvl w:val="0"/>
                <w:numId w:val="4"/>
              </w:numPr>
              <w:autoSpaceDN w:val="0"/>
              <w:spacing w:after="120"/>
              <w:ind w:firstLineChars="0"/>
              <w:rPr>
                <w:rFonts w:eastAsia="宋体"/>
                <w:i/>
                <w:iCs/>
                <w:sz w:val="20"/>
                <w:szCs w:val="20"/>
              </w:rPr>
            </w:pPr>
            <w:r>
              <w:rPr>
                <w:rFonts w:eastAsia="宋体"/>
                <w:i/>
                <w:iCs/>
                <w:sz w:val="20"/>
                <w:szCs w:val="20"/>
              </w:rPr>
              <w:t>Type A and B for legacy requirements</w:t>
            </w:r>
          </w:p>
          <w:p>
            <w:pPr>
              <w:pStyle w:val="75"/>
              <w:numPr>
                <w:ilvl w:val="0"/>
                <w:numId w:val="4"/>
              </w:numPr>
              <w:autoSpaceDN w:val="0"/>
              <w:spacing w:after="120"/>
              <w:ind w:firstLineChars="0"/>
              <w:rPr>
                <w:rFonts w:eastAsia="宋体"/>
                <w:i/>
                <w:iCs/>
                <w:sz w:val="20"/>
                <w:szCs w:val="20"/>
              </w:rPr>
            </w:pPr>
            <w:r>
              <w:rPr>
                <w:rFonts w:eastAsia="宋体"/>
                <w:i/>
                <w:iCs/>
                <w:sz w:val="20"/>
                <w:szCs w:val="20"/>
              </w:rPr>
              <w:t>Type A for new defined requirements</w:t>
            </w:r>
          </w:p>
          <w:p>
            <w:pPr>
              <w:pStyle w:val="75"/>
              <w:numPr>
                <w:ilvl w:val="0"/>
                <w:numId w:val="4"/>
              </w:numPr>
              <w:autoSpaceDN w:val="0"/>
              <w:spacing w:after="120"/>
              <w:ind w:firstLineChars="0"/>
              <w:rPr>
                <w:rFonts w:eastAsia="宋体"/>
                <w:i/>
                <w:iCs/>
                <w:sz w:val="20"/>
                <w:szCs w:val="20"/>
              </w:rPr>
            </w:pPr>
            <w:r>
              <w:rPr>
                <w:rFonts w:eastAsia="宋体"/>
                <w:i/>
                <w:iCs/>
                <w:sz w:val="20"/>
                <w:szCs w:val="20"/>
              </w:rPr>
              <w:t xml:space="preserve">Test applicable rules for Type A and Type B should be reused. </w:t>
            </w:r>
          </w:p>
          <w:p>
            <w:pPr>
              <w:spacing w:after="120"/>
              <w:rPr>
                <w:b/>
                <w:i/>
                <w:iCs/>
                <w:sz w:val="20"/>
                <w:szCs w:val="20"/>
                <w:u w:val="single"/>
                <w:lang w:eastAsia="ko-KR"/>
              </w:rPr>
            </w:pPr>
            <w:r>
              <w:rPr>
                <w:b/>
                <w:i/>
                <w:iCs/>
                <w:sz w:val="20"/>
                <w:szCs w:val="20"/>
                <w:u w:val="single"/>
                <w:lang w:eastAsia="ko-KR"/>
              </w:rPr>
              <w:t xml:space="preserve">Issue 3-1-8: </w:t>
            </w:r>
            <w:r>
              <w:rPr>
                <w:rFonts w:hint="eastAsia"/>
                <w:b/>
                <w:i/>
                <w:iCs/>
                <w:sz w:val="20"/>
                <w:szCs w:val="20"/>
                <w:u w:val="single"/>
                <w:lang w:eastAsia="ko-KR"/>
              </w:rPr>
              <w:t>Other parameters</w:t>
            </w:r>
          </w:p>
          <w:p>
            <w:pPr>
              <w:rPr>
                <w:rFonts w:eastAsiaTheme="minorEastAsia"/>
                <w:b/>
                <w:i/>
                <w:iCs/>
                <w:sz w:val="20"/>
                <w:szCs w:val="20"/>
              </w:rPr>
            </w:pPr>
            <w:r>
              <w:rPr>
                <w:rFonts w:hint="eastAsia" w:eastAsiaTheme="minorEastAsia"/>
                <w:b/>
                <w:i/>
                <w:iCs/>
                <w:sz w:val="20"/>
                <w:szCs w:val="20"/>
              </w:rPr>
              <w:t>Agreement: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997"/>
              <w:gridCol w:w="3511"/>
              <w:gridCol w:w="237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2"/>
                  <w:tcBorders>
                    <w:top w:val="single" w:color="auto" w:sz="4" w:space="0"/>
                    <w:left w:val="single" w:color="auto" w:sz="4" w:space="0"/>
                    <w:bottom w:val="single" w:color="auto" w:sz="6" w:space="0"/>
                    <w:right w:val="single" w:color="auto" w:sz="6" w:space="0"/>
                  </w:tcBorders>
                  <w:vAlign w:val="center"/>
                </w:tcPr>
                <w:p>
                  <w:pPr>
                    <w:pStyle w:val="32"/>
                    <w:rPr>
                      <w:rFonts w:ascii="Times New Roman" w:hAnsi="Times New Roman" w:eastAsia="宋体"/>
                      <w:i/>
                      <w:iCs/>
                      <w:sz w:val="20"/>
                      <w:szCs w:val="20"/>
                    </w:rPr>
                  </w:pPr>
                  <w:r>
                    <w:rPr>
                      <w:rFonts w:ascii="Times New Roman" w:hAnsi="Times New Roman"/>
                      <w:i/>
                      <w:iCs/>
                      <w:sz w:val="20"/>
                      <w:szCs w:val="20"/>
                    </w:rPr>
                    <w:t>parameters</w:t>
                  </w:r>
                </w:p>
              </w:tc>
              <w:tc>
                <w:tcPr>
                  <w:tcW w:w="0" w:type="auto"/>
                  <w:tcBorders>
                    <w:top w:val="single" w:color="auto" w:sz="4" w:space="0"/>
                    <w:left w:val="single" w:color="auto" w:sz="6" w:space="0"/>
                    <w:bottom w:val="single" w:color="auto" w:sz="6" w:space="0"/>
                    <w:right w:val="single" w:color="auto" w:sz="4" w:space="0"/>
                  </w:tcBorders>
                  <w:vAlign w:val="center"/>
                </w:tcPr>
                <w:p>
                  <w:pPr>
                    <w:pStyle w:val="32"/>
                    <w:rPr>
                      <w:rFonts w:ascii="Times New Roman" w:hAnsi="Times New Roman"/>
                      <w:i/>
                      <w:iCs/>
                      <w:sz w:val="20"/>
                      <w:szCs w:val="20"/>
                    </w:rPr>
                  </w:pPr>
                  <w:r>
                    <w:rPr>
                      <w:rFonts w:ascii="Times New Roman" w:hAnsi="Times New Roman"/>
                      <w:i/>
                      <w:i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57"/>
                    <w:rPr>
                      <w:rFonts w:ascii="Times New Roman" w:hAnsi="Times New Roman" w:eastAsiaTheme="minorEastAsia"/>
                      <w:i/>
                      <w:iCs/>
                      <w:sz w:val="20"/>
                    </w:rPr>
                  </w:pPr>
                  <w:r>
                    <w:rPr>
                      <w:rFonts w:ascii="Times New Roman" w:hAnsi="Times New Roman"/>
                      <w:i/>
                      <w:iCs/>
                      <w:sz w:val="20"/>
                    </w:rPr>
                    <w:t>HARQ</w:t>
                  </w: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lang w:val="en-US"/>
                    </w:rPr>
                  </w:pPr>
                  <w:r>
                    <w:rPr>
                      <w:rFonts w:ascii="Times New Roman" w:hAnsi="Times New Roman"/>
                      <w:i/>
                      <w:iCs/>
                      <w:sz w:val="20"/>
                      <w:lang w:val="en-US"/>
                    </w:rPr>
                    <w:t>Maximum number of HARQ transmissions</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lang w:val="zh-CN"/>
                    </w:rPr>
                  </w:pPr>
                  <w:r>
                    <w:rPr>
                      <w:rFonts w:ascii="Times New Roman" w:hAnsi="Times New Roman"/>
                      <w:i/>
                      <w:iCs/>
                      <w:sz w:val="20"/>
                      <w:szCs w:val="20"/>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RV sequence</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DM-RS</w:t>
                  </w: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DM-RS configuration type</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lang w:val="fr-FR"/>
                    </w:rPr>
                  </w:pPr>
                  <w:r>
                    <w:rPr>
                      <w:rFonts w:ascii="Times New Roman" w:hAnsi="Times New Roman"/>
                      <w:i/>
                      <w:iCs/>
                      <w:sz w:val="20"/>
                      <w:szCs w:val="20"/>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lang w:val="zh-CN"/>
                    </w:rPr>
                  </w:pPr>
                  <w:r>
                    <w:rPr>
                      <w:rFonts w:ascii="Times New Roman" w:hAnsi="Times New Roman"/>
                      <w:i/>
                      <w:iCs/>
                      <w:sz w:val="20"/>
                    </w:rPr>
                    <w:t>DM-RS duration</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lang w:eastAsia="zh-CN"/>
                    </w:rPr>
                    <w:t>Additional DM-RS position</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pos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lang w:val="en-US" w:eastAsia="zh-CN"/>
                    </w:rPr>
                  </w:pPr>
                  <w:r>
                    <w:rPr>
                      <w:rFonts w:ascii="Times New Roman" w:hAnsi="Times New Roman"/>
                      <w:i/>
                      <w:iCs/>
                      <w:sz w:val="20"/>
                      <w:lang w:val="en-US"/>
                    </w:rPr>
                    <w:t>Number of DM-RS CDM group(s) without data</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lang w:val="zh-CN" w:eastAsia="en-US"/>
                    </w:rPr>
                  </w:pPr>
                  <w:r>
                    <w:rPr>
                      <w:rFonts w:ascii="Times New Roman" w:hAnsi="Times New Roman"/>
                      <w:i/>
                      <w:iCs/>
                      <w:sz w:val="20"/>
                      <w:szCs w:val="20"/>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lang w:val="en-US"/>
                    </w:rPr>
                  </w:pPr>
                  <w:r>
                    <w:rPr>
                      <w:rFonts w:ascii="Times New Roman" w:hAnsi="Times New Roman"/>
                      <w:i/>
                      <w:iCs/>
                      <w:sz w:val="20"/>
                      <w:lang w:val="en-US"/>
                    </w:rPr>
                    <w:t>Ratio of PUSCH EPRE to DM-RS EPRE</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lang w:val="zh-CN"/>
                    </w:rPr>
                  </w:pPr>
                  <w:r>
                    <w:rPr>
                      <w:rFonts w:ascii="Times New Roman" w:hAnsi="Times New Roman"/>
                      <w:i/>
                      <w:iCs/>
                      <w:sz w:val="20"/>
                      <w:szCs w:val="20"/>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DM-RS port</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DM-RS sequence generation</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N</w:t>
                  </w:r>
                  <w:r>
                    <w:rPr>
                      <w:rFonts w:ascii="Times New Roman" w:hAnsi="Times New Roman"/>
                      <w:i/>
                      <w:iCs/>
                      <w:sz w:val="20"/>
                      <w:szCs w:val="20"/>
                      <w:vertAlign w:val="subscript"/>
                    </w:rPr>
                    <w:t>ID</w:t>
                  </w:r>
                  <w:r>
                    <w:rPr>
                      <w:rFonts w:ascii="Times New Roman" w:hAnsi="Times New Roman"/>
                      <w:i/>
                      <w:iCs/>
                      <w:sz w:val="20"/>
                      <w:szCs w:val="20"/>
                      <w:vertAlign w:val="superscript"/>
                    </w:rPr>
                    <w:t>0</w:t>
                  </w:r>
                  <w:r>
                    <w:rPr>
                      <w:rFonts w:ascii="Times New Roman" w:hAnsi="Times New Roman"/>
                      <w:i/>
                      <w:iCs/>
                      <w:sz w:val="20"/>
                      <w:szCs w:val="20"/>
                    </w:rPr>
                    <w:t>=0, n</w:t>
                  </w:r>
                  <w:r>
                    <w:rPr>
                      <w:rFonts w:ascii="Times New Roman" w:hAnsi="Times New Roman"/>
                      <w:i/>
                      <w:iCs/>
                      <w:sz w:val="20"/>
                      <w:szCs w:val="20"/>
                      <w:vertAlign w:val="subscript"/>
                    </w:rPr>
                    <w:t>SCID</w:t>
                  </w:r>
                  <w:r>
                    <w:rPr>
                      <w:rFonts w:ascii="Times New Roman" w:hAnsi="Times New Roman"/>
                      <w:i/>
                      <w:iCs/>
                      <w:sz w:val="20"/>
                      <w:szCs w:val="20"/>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0" w:hRule="atLeas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rPr>
                      <w:i/>
                      <w:iCs/>
                      <w:sz w:val="20"/>
                      <w:szCs w:val="20"/>
                    </w:rPr>
                  </w:pPr>
                  <w:r>
                    <w:rPr>
                      <w:i/>
                      <w:iCs/>
                      <w:sz w:val="20"/>
                      <w:szCs w:val="20"/>
                    </w:rPr>
                    <w:t>Time domain resource assignment</w:t>
                  </w: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eastAsia="Batang"/>
                      <w:i/>
                      <w:iCs/>
                      <w:sz w:val="20"/>
                    </w:rPr>
                  </w:pPr>
                  <w:r>
                    <w:rPr>
                      <w:rFonts w:ascii="Times New Roman" w:hAnsi="Times New Roman"/>
                      <w:i/>
                      <w:iCs/>
                      <w:sz w:val="20"/>
                    </w:rPr>
                    <w:t>Start symbol</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eastAsia="宋体"/>
                      <w:i/>
                      <w:iCs/>
                      <w:sz w:val="20"/>
                      <w:szCs w:val="20"/>
                    </w:rPr>
                  </w:pPr>
                  <w:r>
                    <w:rPr>
                      <w:rFonts w:ascii="Times New Roman" w:hAnsi="Times New Roman"/>
                      <w:i/>
                      <w:iCs/>
                      <w:sz w:val="20"/>
                      <w:szCs w:val="20"/>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Allocation length</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eastAsiaTheme="minorEastAsia"/>
                      <w:i/>
                      <w:iCs/>
                      <w:sz w:val="20"/>
                      <w:szCs w:val="20"/>
                    </w:rPr>
                  </w:pPr>
                  <w:r>
                    <w:rPr>
                      <w:rFonts w:ascii="Times New Roman" w:hAnsi="Times New Roman"/>
                      <w:i/>
                      <w:iCs/>
                      <w:sz w:val="20"/>
                      <w:szCs w:val="20"/>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Frequency domain resource assignment</w:t>
                  </w: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RB assignment</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4" w:space="0"/>
                    <w:bottom w:val="single" w:color="auto" w:sz="6" w:space="0"/>
                    <w:right w:val="single" w:color="auto" w:sz="6" w:space="0"/>
                  </w:tcBorders>
                  <w:vAlign w:val="center"/>
                </w:tcPr>
                <w:p>
                  <w:pPr>
                    <w:rPr>
                      <w:rFonts w:eastAsiaTheme="minorEastAsia"/>
                      <w:i/>
                      <w:iCs/>
                      <w:sz w:val="20"/>
                      <w:szCs w:val="20"/>
                      <w:lang w:val="en-GB" w:eastAsia="en-US"/>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57"/>
                    <w:rPr>
                      <w:rFonts w:ascii="Times New Roman" w:hAnsi="Times New Roman"/>
                      <w:i/>
                      <w:iCs/>
                      <w:sz w:val="20"/>
                    </w:rPr>
                  </w:pPr>
                  <w:r>
                    <w:rPr>
                      <w:rFonts w:ascii="Times New Roman" w:hAnsi="Times New Roman"/>
                      <w:i/>
                      <w:iCs/>
                      <w:sz w:val="20"/>
                    </w:rPr>
                    <w:t>Frequency hopping</w:t>
                  </w:r>
                </w:p>
              </w:tc>
              <w:tc>
                <w:tcPr>
                  <w:tcW w:w="0" w:type="auto"/>
                  <w:tcBorders>
                    <w:top w:val="single" w:color="auto" w:sz="6" w:space="0"/>
                    <w:left w:val="single" w:color="auto" w:sz="6" w:space="0"/>
                    <w:bottom w:val="single" w:color="auto" w:sz="6" w:space="0"/>
                    <w:right w:val="single" w:color="auto" w:sz="4" w:space="0"/>
                  </w:tcBorders>
                  <w:vAlign w:val="center"/>
                </w:tcPr>
                <w:p>
                  <w:pPr>
                    <w:pStyle w:val="28"/>
                    <w:rPr>
                      <w:rFonts w:ascii="Times New Roman" w:hAnsi="Times New Roman"/>
                      <w:i/>
                      <w:iCs/>
                      <w:sz w:val="20"/>
                      <w:szCs w:val="20"/>
                    </w:rPr>
                  </w:pPr>
                  <w:r>
                    <w:rPr>
                      <w:rFonts w:ascii="Times New Roman" w:hAnsi="Times New Roman"/>
                      <w:i/>
                      <w:iCs/>
                      <w:sz w:val="20"/>
                      <w:szCs w:val="20"/>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2"/>
                  <w:tcBorders>
                    <w:top w:val="single" w:color="auto" w:sz="6" w:space="0"/>
                    <w:left w:val="single" w:color="auto" w:sz="4" w:space="0"/>
                    <w:bottom w:val="single" w:color="auto" w:sz="4" w:space="0"/>
                    <w:right w:val="single" w:color="auto" w:sz="6" w:space="0"/>
                  </w:tcBorders>
                  <w:vAlign w:val="center"/>
                </w:tcPr>
                <w:p>
                  <w:pPr>
                    <w:pStyle w:val="57"/>
                    <w:rPr>
                      <w:rFonts w:ascii="Times New Roman" w:hAnsi="Times New Roman"/>
                      <w:i/>
                      <w:iCs/>
                      <w:sz w:val="20"/>
                      <w:lang w:val="en-US"/>
                    </w:rPr>
                  </w:pPr>
                  <w:r>
                    <w:rPr>
                      <w:rFonts w:ascii="Times New Roman" w:hAnsi="Times New Roman"/>
                      <w:i/>
                      <w:iCs/>
                      <w:sz w:val="20"/>
                      <w:lang w:val="en-US"/>
                    </w:rPr>
                    <w:t>Code block group based PUSCH transmission</w:t>
                  </w:r>
                </w:p>
              </w:tc>
              <w:tc>
                <w:tcPr>
                  <w:tcW w:w="0" w:type="auto"/>
                  <w:tcBorders>
                    <w:top w:val="single" w:color="auto" w:sz="6" w:space="0"/>
                    <w:left w:val="single" w:color="auto" w:sz="6" w:space="0"/>
                    <w:bottom w:val="single" w:color="auto" w:sz="4" w:space="0"/>
                    <w:right w:val="single" w:color="auto" w:sz="4" w:space="0"/>
                  </w:tcBorders>
                  <w:vAlign w:val="center"/>
                </w:tcPr>
                <w:p>
                  <w:pPr>
                    <w:pStyle w:val="28"/>
                    <w:rPr>
                      <w:rFonts w:ascii="Times New Roman" w:hAnsi="Times New Roman"/>
                      <w:i/>
                      <w:iCs/>
                      <w:sz w:val="20"/>
                      <w:szCs w:val="20"/>
                      <w:lang w:val="zh-CN"/>
                    </w:rPr>
                  </w:pPr>
                  <w:r>
                    <w:rPr>
                      <w:rFonts w:ascii="Times New Roman" w:hAnsi="Times New Roman"/>
                      <w:i/>
                      <w:iCs/>
                      <w:sz w:val="20"/>
                      <w:szCs w:val="20"/>
                    </w:rPr>
                    <w:t>Disabled</w:t>
                  </w:r>
                </w:p>
              </w:tc>
            </w:tr>
          </w:tbl>
          <w:p>
            <w:pPr>
              <w:spacing w:after="120"/>
              <w:rPr>
                <w:rFonts w:eastAsia="宋体"/>
                <w:b/>
                <w:bCs/>
                <w:i/>
                <w:iCs/>
                <w:sz w:val="20"/>
                <w:szCs w:val="20"/>
                <w:u w:val="single"/>
                <w:lang w:val="en-GB"/>
              </w:rPr>
            </w:pPr>
            <w:r>
              <w:rPr>
                <w:rFonts w:eastAsia="宋体"/>
                <w:b/>
                <w:i/>
                <w:iCs/>
                <w:sz w:val="20"/>
                <w:szCs w:val="20"/>
                <w:u w:val="single"/>
                <w:lang w:val="en-GB"/>
              </w:rPr>
              <w:t xml:space="preserve">Issue 3-2-1: </w:t>
            </w:r>
            <w:r>
              <w:rPr>
                <w:rFonts w:eastAsia="宋体"/>
                <w:b/>
                <w:bCs/>
                <w:i/>
                <w:iCs/>
                <w:sz w:val="20"/>
                <w:szCs w:val="20"/>
                <w:u w:val="single"/>
                <w:lang w:val="en-GB"/>
              </w:rPr>
              <w:t>Test scope</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autoSpaceDN w:val="0"/>
              <w:spacing w:after="120"/>
              <w:ind w:firstLineChars="0"/>
              <w:rPr>
                <w:rFonts w:eastAsia="宋体"/>
                <w:i/>
                <w:iCs/>
                <w:sz w:val="20"/>
                <w:szCs w:val="20"/>
              </w:rPr>
            </w:pPr>
            <w:r>
              <w:rPr>
                <w:rFonts w:eastAsia="宋体"/>
                <w:i/>
                <w:iCs/>
                <w:sz w:val="20"/>
                <w:szCs w:val="20"/>
              </w:rPr>
              <w:t>Reuse the existing TN BS requirement and applicable rules for ATG BS</w:t>
            </w:r>
          </w:p>
          <w:p>
            <w:pPr>
              <w:pStyle w:val="75"/>
              <w:numPr>
                <w:ilvl w:val="0"/>
                <w:numId w:val="4"/>
              </w:numPr>
              <w:autoSpaceDN w:val="0"/>
              <w:spacing w:after="120"/>
              <w:ind w:firstLineChars="0"/>
              <w:rPr>
                <w:rFonts w:eastAsia="宋体"/>
                <w:i/>
                <w:iCs/>
                <w:sz w:val="20"/>
                <w:szCs w:val="20"/>
              </w:rPr>
            </w:pPr>
            <w:r>
              <w:rPr>
                <w:rFonts w:eastAsia="宋体"/>
                <w:i/>
                <w:iCs/>
                <w:sz w:val="20"/>
                <w:szCs w:val="20"/>
              </w:rPr>
              <w:t xml:space="preserve">No need to define incremental requirement.  </w:t>
            </w:r>
          </w:p>
          <w:p>
            <w:pPr>
              <w:pStyle w:val="2"/>
              <w:numPr>
                <w:ilvl w:val="1"/>
                <w:numId w:val="3"/>
              </w:numPr>
              <w:spacing w:before="180" w:after="180" w:line="240" w:lineRule="auto"/>
              <w:rPr>
                <w:rFonts w:cs="Arial"/>
                <w:b w:val="0"/>
                <w:bCs w:val="0"/>
                <w:i/>
                <w:iCs/>
                <w:kern w:val="0"/>
                <w:sz w:val="24"/>
                <w:szCs w:val="24"/>
                <w:lang w:val="en-GB"/>
              </w:rPr>
            </w:pPr>
            <w:r>
              <w:rPr>
                <w:rFonts w:cs="Arial"/>
                <w:b w:val="0"/>
                <w:bCs w:val="0"/>
                <w:i/>
                <w:iCs/>
                <w:kern w:val="0"/>
                <w:sz w:val="24"/>
                <w:szCs w:val="24"/>
                <w:lang w:val="en-GB"/>
              </w:rPr>
              <w:t>PRACH requirements</w:t>
            </w:r>
          </w:p>
          <w:p>
            <w:pPr>
              <w:spacing w:after="120"/>
              <w:rPr>
                <w:rFonts w:eastAsia="宋体"/>
                <w:b/>
                <w:i/>
                <w:iCs/>
                <w:sz w:val="20"/>
                <w:szCs w:val="20"/>
                <w:u w:val="single"/>
                <w:lang w:val="en-GB"/>
              </w:rPr>
            </w:pPr>
            <w:r>
              <w:rPr>
                <w:rFonts w:eastAsia="宋体"/>
                <w:b/>
                <w:i/>
                <w:iCs/>
                <w:sz w:val="20"/>
                <w:szCs w:val="20"/>
                <w:u w:val="single"/>
                <w:lang w:val="en-GB"/>
              </w:rPr>
              <w:t>Issue 3-3-1: Test scope</w:t>
            </w:r>
          </w:p>
          <w:p>
            <w:pPr>
              <w:rPr>
                <w:rFonts w:eastAsiaTheme="minorEastAsia"/>
                <w:b/>
                <w:i/>
                <w:iCs/>
                <w:sz w:val="20"/>
                <w:szCs w:val="20"/>
              </w:rPr>
            </w:pPr>
            <w:r>
              <w:rPr>
                <w:rFonts w:eastAsiaTheme="minorEastAsia"/>
                <w:b/>
                <w:i/>
                <w:iCs/>
                <w:sz w:val="20"/>
                <w:szCs w:val="20"/>
              </w:rPr>
              <w:t>Agreement:</w:t>
            </w:r>
          </w:p>
          <w:p>
            <w:pPr>
              <w:pStyle w:val="75"/>
              <w:numPr>
                <w:ilvl w:val="0"/>
                <w:numId w:val="4"/>
              </w:numPr>
              <w:autoSpaceDN w:val="0"/>
              <w:spacing w:after="120"/>
              <w:ind w:firstLineChars="0"/>
              <w:rPr>
                <w:rFonts w:eastAsia="宋体"/>
                <w:i/>
                <w:iCs/>
                <w:sz w:val="20"/>
                <w:szCs w:val="20"/>
              </w:rPr>
            </w:pPr>
            <w:r>
              <w:rPr>
                <w:rFonts w:eastAsia="宋体"/>
                <w:i/>
                <w:iCs/>
                <w:sz w:val="20"/>
                <w:szCs w:val="20"/>
              </w:rPr>
              <w:t>Reuse the existing normal PRACH requirements and same appli</w:t>
            </w:r>
            <w:r>
              <w:rPr>
                <w:rFonts w:hint="eastAsia" w:eastAsia="宋体"/>
                <w:i/>
                <w:iCs/>
                <w:sz w:val="20"/>
                <w:szCs w:val="20"/>
                <w:lang w:val="en-US" w:eastAsia="zh-CN"/>
              </w:rPr>
              <w:t>c</w:t>
            </w:r>
            <w:r>
              <w:rPr>
                <w:rFonts w:eastAsia="宋体"/>
                <w:i/>
                <w:iCs/>
                <w:sz w:val="20"/>
                <w:szCs w:val="20"/>
              </w:rPr>
              <w:t>ab</w:t>
            </w:r>
            <w:r>
              <w:rPr>
                <w:rFonts w:hint="eastAsia" w:eastAsia="宋体"/>
                <w:i/>
                <w:iCs/>
                <w:sz w:val="20"/>
                <w:szCs w:val="20"/>
                <w:lang w:val="en-US" w:eastAsia="zh-CN"/>
              </w:rPr>
              <w:t>i</w:t>
            </w:r>
            <w:r>
              <w:rPr>
                <w:rFonts w:eastAsia="宋体"/>
                <w:i/>
                <w:iCs/>
                <w:sz w:val="20"/>
                <w:szCs w:val="20"/>
              </w:rPr>
              <w:t>l</w:t>
            </w:r>
            <w:r>
              <w:rPr>
                <w:rFonts w:hint="eastAsia" w:eastAsia="宋体"/>
                <w:i/>
                <w:iCs/>
                <w:sz w:val="20"/>
                <w:szCs w:val="20"/>
                <w:lang w:val="en-US" w:eastAsia="zh-CN"/>
              </w:rPr>
              <w:t>ity</w:t>
            </w:r>
            <w:r>
              <w:rPr>
                <w:rFonts w:eastAsia="宋体"/>
                <w:i/>
                <w:iCs/>
                <w:sz w:val="20"/>
                <w:szCs w:val="20"/>
              </w:rPr>
              <w:t xml:space="preserve"> rules for ATG BS </w:t>
            </w:r>
          </w:p>
          <w:p>
            <w:pPr>
              <w:pStyle w:val="75"/>
              <w:numPr>
                <w:ilvl w:val="0"/>
                <w:numId w:val="4"/>
              </w:numPr>
              <w:autoSpaceDN w:val="0"/>
              <w:spacing w:after="120"/>
              <w:ind w:firstLineChars="0"/>
              <w:rPr>
                <w:rFonts w:eastAsia="MS Mincho"/>
                <w:i/>
                <w:iCs/>
                <w:sz w:val="20"/>
                <w:szCs w:val="20"/>
                <w:lang w:val="en-GB"/>
              </w:rPr>
            </w:pPr>
            <w:r>
              <w:rPr>
                <w:rFonts w:eastAsia="宋体"/>
                <w:i/>
                <w:iCs/>
                <w:sz w:val="20"/>
                <w:szCs w:val="20"/>
              </w:rPr>
              <w:t>No need to define incremental requirement</w:t>
            </w:r>
          </w:p>
        </w:tc>
      </w:tr>
    </w:tbl>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In this contribution, we further provide our views on test setup</w:t>
      </w:r>
      <w:r>
        <w:rPr>
          <w:rFonts w:hint="eastAsia" w:eastAsia="宋体"/>
          <w:szCs w:val="20"/>
          <w:lang w:val="en-US" w:eastAsia="zh-CN"/>
        </w:rPr>
        <w:t xml:space="preserve"> and requirements</w:t>
      </w:r>
      <w:r>
        <w:rPr>
          <w:rFonts w:eastAsia="宋体"/>
          <w:szCs w:val="20"/>
          <w:lang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1"/>
      <w:bookmarkStart w:id="7" w:name="OLE_LINK2"/>
      <w:r>
        <w:rPr>
          <w:rFonts w:ascii="Times New Roman" w:hAnsi="Times New Roman"/>
          <w:b w:val="0"/>
          <w:bCs w:val="0"/>
          <w:kern w:val="0"/>
          <w:sz w:val="36"/>
          <w:szCs w:val="36"/>
        </w:rPr>
        <w:t>PUSCH requirements</w:t>
      </w:r>
      <w:bookmarkStart w:id="8" w:name="_Hlk70326378"/>
    </w:p>
    <w:p>
      <w:pPr>
        <w:rPr>
          <w:b/>
          <w:i/>
          <w:iCs/>
          <w:sz w:val="20"/>
          <w:szCs w:val="20"/>
          <w:u w:val="single"/>
          <w:lang w:eastAsia="ko-KR"/>
        </w:rPr>
      </w:pPr>
      <w:r>
        <w:rPr>
          <w:b/>
          <w:i/>
          <w:iCs/>
          <w:sz w:val="20"/>
          <w:szCs w:val="20"/>
          <w:u w:val="single"/>
          <w:lang w:eastAsia="ko-KR"/>
        </w:rPr>
        <w:t>Issue 3-1-4: Rank and MCS</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autoSpaceDN w:val="0"/>
        <w:spacing w:after="120"/>
        <w:ind w:firstLineChars="0"/>
        <w:rPr>
          <w:rFonts w:eastAsia="宋体"/>
          <w:i/>
          <w:iCs/>
          <w:sz w:val="20"/>
          <w:szCs w:val="20"/>
        </w:rPr>
      </w:pPr>
      <w:r>
        <w:rPr>
          <w:rFonts w:eastAsia="宋体"/>
          <w:i/>
          <w:iCs/>
          <w:sz w:val="20"/>
          <w:szCs w:val="20"/>
        </w:rPr>
        <w:t>For the test case which reusing existing requirements, cover 16QAM, 64QAM at least</w:t>
      </w:r>
    </w:p>
    <w:p>
      <w:pPr>
        <w:pStyle w:val="75"/>
        <w:numPr>
          <w:ilvl w:val="1"/>
          <w:numId w:val="4"/>
        </w:numPr>
        <w:autoSpaceDN w:val="0"/>
        <w:spacing w:after="120"/>
        <w:ind w:firstLineChars="0"/>
        <w:rPr>
          <w:rFonts w:eastAsia="宋体"/>
          <w:i/>
          <w:iCs/>
          <w:sz w:val="20"/>
          <w:szCs w:val="20"/>
        </w:rPr>
      </w:pPr>
      <w:r>
        <w:rPr>
          <w:rFonts w:eastAsia="宋体"/>
          <w:i/>
          <w:iCs/>
          <w:sz w:val="20"/>
          <w:szCs w:val="20"/>
        </w:rPr>
        <w:t xml:space="preserve">FFS for 256QAM supporting pending on UE RF session conclusion on the supporting UL 256QAM Tx </w:t>
      </w:r>
    </w:p>
    <w:p>
      <w:pPr>
        <w:pStyle w:val="75"/>
        <w:numPr>
          <w:ilvl w:val="0"/>
          <w:numId w:val="4"/>
        </w:numPr>
        <w:autoSpaceDN w:val="0"/>
        <w:spacing w:after="120"/>
        <w:ind w:firstLineChars="0"/>
        <w:rPr>
          <w:rFonts w:eastAsia="宋体"/>
          <w:i/>
          <w:iCs/>
          <w:sz w:val="20"/>
          <w:szCs w:val="20"/>
        </w:rPr>
      </w:pPr>
      <w:r>
        <w:rPr>
          <w:rFonts w:eastAsia="宋体"/>
          <w:i/>
          <w:iCs/>
          <w:sz w:val="20"/>
          <w:szCs w:val="20"/>
        </w:rPr>
        <w:t xml:space="preserve">For the new test case with new dedicated ATG requirement, cover 16QAM and 64QAM at least </w:t>
      </w:r>
    </w:p>
    <w:p>
      <w:pPr>
        <w:pStyle w:val="75"/>
        <w:numPr>
          <w:ilvl w:val="1"/>
          <w:numId w:val="4"/>
        </w:numPr>
        <w:autoSpaceDN w:val="0"/>
        <w:spacing w:after="120"/>
        <w:ind w:firstLineChars="0"/>
        <w:rPr>
          <w:b/>
          <w:i/>
          <w:iCs/>
          <w:sz w:val="20"/>
          <w:szCs w:val="20"/>
          <w:u w:val="single"/>
          <w:lang w:eastAsia="ko-KR"/>
        </w:rPr>
      </w:pPr>
      <w:r>
        <w:rPr>
          <w:rFonts w:eastAsia="宋体"/>
          <w:i/>
          <w:iCs/>
          <w:sz w:val="20"/>
          <w:szCs w:val="20"/>
        </w:rPr>
        <w:t xml:space="preserve">FFS for 256QAM supporting pending on UE RF session conclusion on the supporting UL 256QAM Tx </w:t>
      </w:r>
    </w:p>
    <w:p>
      <w:pPr>
        <w:spacing w:before="60"/>
        <w:jc w:val="both"/>
        <w:rPr>
          <w:rFonts w:hint="default"/>
          <w:sz w:val="20"/>
          <w:szCs w:val="20"/>
          <w:lang w:val="en-US" w:eastAsia="zh-CN"/>
        </w:rPr>
      </w:pPr>
      <w:r>
        <w:rPr>
          <w:rFonts w:hint="eastAsia"/>
          <w:sz w:val="20"/>
          <w:szCs w:val="20"/>
          <w:lang w:val="en-US" w:eastAsia="zh-CN"/>
        </w:rPr>
        <w:t>In last meeting, RAN4 UE RF session has achieved the agreement as follows:</w:t>
      </w:r>
    </w:p>
    <w:p>
      <w:pPr>
        <w:spacing w:before="60"/>
        <w:jc w:val="both"/>
        <w:rPr>
          <w:rFonts w:hint="eastAsia"/>
          <w:i/>
          <w:iCs/>
          <w:sz w:val="20"/>
          <w:szCs w:val="20"/>
          <w:lang w:eastAsia="zh-CN"/>
        </w:rPr>
      </w:pPr>
      <w:r>
        <w:rPr>
          <w:rFonts w:hint="eastAsia"/>
          <w:i/>
          <w:iCs/>
          <w:sz w:val="20"/>
          <w:szCs w:val="20"/>
          <w:lang w:eastAsia="zh-CN"/>
        </w:rPr>
        <w:t>&lt;Agreement&gt;:</w:t>
      </w:r>
      <w:r>
        <w:rPr>
          <w:rFonts w:hint="eastAsia"/>
          <w:i/>
          <w:iCs/>
          <w:sz w:val="20"/>
          <w:szCs w:val="20"/>
        </w:rPr>
        <w:t xml:space="preserve"> </w:t>
      </w:r>
      <w:r>
        <w:rPr>
          <w:rFonts w:hint="eastAsia"/>
          <w:i/>
          <w:iCs/>
          <w:sz w:val="20"/>
          <w:szCs w:val="20"/>
          <w:lang w:eastAsia="zh-CN"/>
        </w:rPr>
        <w:t>UL 256QAM should be supported for ATG UE as optional feature for ATG.</w:t>
      </w:r>
    </w:p>
    <w:p>
      <w:pPr>
        <w:spacing w:before="60"/>
        <w:jc w:val="both"/>
        <w:rPr>
          <w:rFonts w:hint="eastAsia"/>
          <w:sz w:val="20"/>
          <w:szCs w:val="20"/>
          <w:lang w:val="en-US" w:eastAsia="zh-CN"/>
        </w:rPr>
      </w:pPr>
      <w:r>
        <w:rPr>
          <w:rFonts w:hint="eastAsia"/>
          <w:sz w:val="20"/>
          <w:szCs w:val="20"/>
          <w:lang w:val="en-US" w:eastAsia="zh-CN"/>
        </w:rPr>
        <w:t xml:space="preserve">Since UL 256QAM is an optional feature for ATG, the test cases should cover 256QAM. </w:t>
      </w:r>
    </w:p>
    <w:p>
      <w:pPr>
        <w:spacing w:before="60"/>
        <w:jc w:val="both"/>
        <w:rPr>
          <w:rFonts w:hint="eastAsia"/>
          <w:sz w:val="20"/>
          <w:szCs w:val="20"/>
          <w:lang w:val="en-US" w:eastAsia="zh-CN"/>
        </w:rPr>
      </w:pPr>
      <w:r>
        <w:rPr>
          <w:rFonts w:hint="eastAsia"/>
          <w:sz w:val="20"/>
          <w:szCs w:val="20"/>
          <w:lang w:val="en-US" w:eastAsia="zh-CN"/>
        </w:rPr>
        <w:t xml:space="preserve">For the new test case with new dedicated ATG requirements, based on our simulation results, the SNR at 70%TP of </w:t>
      </w:r>
      <w:r>
        <w:rPr>
          <w:sz w:val="20"/>
          <w:szCs w:val="20"/>
        </w:rPr>
        <w:t>MCS20 (256QAM, R=682.5/1024)</w:t>
      </w:r>
      <w:r>
        <w:rPr>
          <w:rFonts w:hint="eastAsia"/>
          <w:sz w:val="20"/>
          <w:szCs w:val="20"/>
          <w:lang w:val="en-US" w:eastAsia="zh-CN"/>
        </w:rPr>
        <w:t xml:space="preserve"> and MCS22(256QAM, R=754/1024)</w:t>
      </w:r>
      <w:r>
        <w:rPr>
          <w:sz w:val="20"/>
          <w:szCs w:val="20"/>
        </w:rPr>
        <w:t xml:space="preserve"> are</w:t>
      </w:r>
      <w:r>
        <w:rPr>
          <w:rFonts w:hint="eastAsia"/>
          <w:sz w:val="20"/>
          <w:szCs w:val="20"/>
          <w:lang w:val="en-US" w:eastAsia="zh-CN"/>
        </w:rPr>
        <w:t xml:space="preserve"> both</w:t>
      </w:r>
      <w:r>
        <w:rPr>
          <w:sz w:val="20"/>
          <w:szCs w:val="20"/>
        </w:rPr>
        <w:t xml:space="preserve"> in the testable range. </w:t>
      </w:r>
      <w:r>
        <w:rPr>
          <w:rFonts w:hint="eastAsia"/>
          <w:sz w:val="20"/>
          <w:szCs w:val="20"/>
          <w:lang w:val="en-US" w:eastAsia="zh-CN"/>
        </w:rPr>
        <w:t>MCS 22 is preferred.</w:t>
      </w:r>
    </w:p>
    <w:p>
      <w:pPr>
        <w:spacing w:before="60"/>
        <w:jc w:val="both"/>
        <w:rPr>
          <w:rFonts w:hint="default"/>
          <w:b/>
          <w:bCs/>
          <w:i/>
          <w:iCs/>
          <w:sz w:val="20"/>
          <w:szCs w:val="20"/>
          <w:lang w:val="en-US" w:eastAsia="zh-CN"/>
        </w:rPr>
      </w:pPr>
      <w:r>
        <w:rPr>
          <w:b/>
          <w:bCs/>
          <w:i/>
          <w:iCs/>
          <w:sz w:val="20"/>
          <w:szCs w:val="20"/>
        </w:rPr>
        <w:t xml:space="preserve">Proposal 1: For the test case which reusing existing requirements, cover </w:t>
      </w:r>
      <w:r>
        <w:rPr>
          <w:rFonts w:hint="eastAsia"/>
          <w:b/>
          <w:bCs/>
          <w:i/>
          <w:iCs/>
          <w:sz w:val="20"/>
          <w:szCs w:val="20"/>
          <w:lang w:val="en-US" w:eastAsia="zh-CN"/>
        </w:rPr>
        <w:t>256QAM.</w:t>
      </w:r>
    </w:p>
    <w:p>
      <w:pPr>
        <w:spacing w:before="60"/>
        <w:jc w:val="both"/>
        <w:rPr>
          <w:rFonts w:hint="eastAsia"/>
          <w:sz w:val="20"/>
          <w:szCs w:val="20"/>
          <w:lang w:val="en-US" w:eastAsia="zh-CN"/>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For the new test case with new dedicated ATG requirement, cover </w:t>
      </w:r>
      <w:r>
        <w:rPr>
          <w:rFonts w:hint="eastAsia"/>
          <w:b/>
          <w:bCs/>
          <w:i/>
          <w:iCs/>
          <w:sz w:val="20"/>
          <w:szCs w:val="20"/>
          <w:lang w:val="en-US" w:eastAsia="zh-CN"/>
        </w:rPr>
        <w:t>256QAM, MCS 22 in table 2 is preferred.</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eastAsiaTheme="minorEastAsia"/>
          <w:b/>
          <w:i/>
          <w:iCs/>
          <w:u w:val="single"/>
        </w:rPr>
      </w:pPr>
      <w:r>
        <w:rPr>
          <w:b/>
          <w:i/>
          <w:iCs/>
          <w:sz w:val="20"/>
          <w:szCs w:val="20"/>
          <w:u w:val="single"/>
          <w:lang w:eastAsia="ko-KR"/>
        </w:rPr>
        <w:t>Issue 3-1-7: Test metric</w:t>
      </w:r>
    </w:p>
    <w:p>
      <w:pPr>
        <w:pStyle w:val="75"/>
        <w:numPr>
          <w:ilvl w:val="0"/>
          <w:numId w:val="4"/>
        </w:numPr>
        <w:autoSpaceDN w:val="0"/>
        <w:spacing w:after="120"/>
        <w:ind w:firstLineChars="0"/>
        <w:rPr>
          <w:rFonts w:eastAsia="宋体"/>
          <w:i/>
          <w:iCs/>
          <w:sz w:val="20"/>
          <w:szCs w:val="20"/>
        </w:rPr>
      </w:pPr>
      <w:r>
        <w:rPr>
          <w:rFonts w:eastAsia="宋体"/>
          <w:i/>
          <w:iCs/>
          <w:sz w:val="20"/>
          <w:szCs w:val="20"/>
        </w:rPr>
        <w:t>Option 1: Consider 70% and 30% throughput requirements for ATG PUSCH demodulation. (Ericsson, HW)</w:t>
      </w:r>
    </w:p>
    <w:p>
      <w:pPr>
        <w:pStyle w:val="75"/>
        <w:numPr>
          <w:ilvl w:val="0"/>
          <w:numId w:val="4"/>
        </w:numPr>
        <w:autoSpaceDN w:val="0"/>
        <w:spacing w:after="120"/>
        <w:ind w:firstLineChars="0"/>
        <w:rPr>
          <w:rFonts w:eastAsia="宋体"/>
          <w:i/>
          <w:iCs/>
          <w:sz w:val="20"/>
          <w:szCs w:val="20"/>
        </w:rPr>
      </w:pPr>
      <w:r>
        <w:rPr>
          <w:rFonts w:eastAsia="宋体"/>
          <w:i/>
          <w:iCs/>
          <w:sz w:val="20"/>
          <w:szCs w:val="20"/>
        </w:rPr>
        <w:t>Option 2: 70% throughput requirements (CMCC, ZTE, Ericsson (for new incremental requirements), Samsung)</w:t>
      </w:r>
    </w:p>
    <w:p>
      <w:pPr>
        <w:autoSpaceDN w:val="0"/>
        <w:spacing w:after="120"/>
        <w:rPr>
          <w:rFonts w:hint="default" w:eastAsia="宋体"/>
          <w:sz w:val="20"/>
          <w:szCs w:val="20"/>
          <w:lang w:val="en-US" w:eastAsia="zh-CN"/>
        </w:rPr>
      </w:pPr>
      <w:r>
        <w:rPr>
          <w:rFonts w:hint="eastAsia" w:eastAsia="宋体"/>
          <w:sz w:val="20"/>
          <w:szCs w:val="20"/>
          <w:lang w:val="en-US" w:eastAsia="zh-CN"/>
        </w:rPr>
        <w:t xml:space="preserve">The SNR at </w:t>
      </w:r>
      <w:r>
        <w:rPr>
          <w:rFonts w:eastAsia="宋体"/>
          <w:sz w:val="20"/>
          <w:szCs w:val="20"/>
        </w:rPr>
        <w:t xml:space="preserve">30% </w:t>
      </w:r>
      <w:r>
        <w:rPr>
          <w:rFonts w:hint="eastAsia" w:eastAsia="宋体"/>
          <w:sz w:val="20"/>
          <w:szCs w:val="20"/>
          <w:lang w:val="en-US" w:eastAsia="zh-CN"/>
        </w:rPr>
        <w:t>TP</w:t>
      </w:r>
      <w:r>
        <w:rPr>
          <w:rFonts w:eastAsia="宋体"/>
          <w:sz w:val="20"/>
          <w:szCs w:val="20"/>
        </w:rPr>
        <w:t xml:space="preserve"> is to test the HARQ performance. </w:t>
      </w:r>
      <w:r>
        <w:rPr>
          <w:rFonts w:hint="eastAsia" w:eastAsia="宋体"/>
          <w:sz w:val="20"/>
          <w:szCs w:val="20"/>
          <w:lang w:val="en-US" w:eastAsia="zh-CN"/>
        </w:rPr>
        <w:t>For test cases which reusing the existing requirements, we are fine to cover 30% TP. For new test cases with new dedicated ATG requirements, we prefer only consider 70% TP, since the channel quality is usually quite good with LOS propagation.</w:t>
      </w:r>
    </w:p>
    <w:p>
      <w:pPr>
        <w:spacing w:before="60"/>
        <w:jc w:val="both"/>
        <w:rPr>
          <w:rFonts w:hint="default"/>
          <w:b/>
          <w:bCs/>
          <w:i/>
          <w:iCs/>
          <w:sz w:val="20"/>
          <w:szCs w:val="20"/>
          <w:lang w:val="en-US" w:eastAsia="zh-CN"/>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For the test case which reusing existing requirements, </w:t>
      </w:r>
      <w:r>
        <w:rPr>
          <w:rFonts w:hint="eastAsia"/>
          <w:b/>
          <w:bCs/>
          <w:i/>
          <w:iCs/>
          <w:sz w:val="20"/>
          <w:szCs w:val="20"/>
          <w:lang w:val="en-US" w:eastAsia="zh-CN"/>
        </w:rPr>
        <w:t xml:space="preserve">the test metric </w:t>
      </w:r>
      <w:r>
        <w:rPr>
          <w:b/>
          <w:bCs/>
          <w:i/>
          <w:iCs/>
          <w:sz w:val="20"/>
          <w:szCs w:val="20"/>
        </w:rPr>
        <w:t xml:space="preserve">cover </w:t>
      </w:r>
      <w:r>
        <w:rPr>
          <w:rFonts w:hint="eastAsia"/>
          <w:b/>
          <w:bCs/>
          <w:i/>
          <w:iCs/>
          <w:sz w:val="20"/>
          <w:szCs w:val="20"/>
          <w:lang w:val="en-US" w:eastAsia="zh-CN"/>
        </w:rPr>
        <w:t>SNR at 70% and 30% TP.</w:t>
      </w:r>
    </w:p>
    <w:p>
      <w:pPr>
        <w:spacing w:before="60"/>
        <w:jc w:val="both"/>
        <w:rPr>
          <w:rFonts w:hint="eastAsia"/>
          <w:sz w:val="20"/>
          <w:szCs w:val="20"/>
          <w:lang w:val="en-US" w:eastAsia="zh-CN"/>
        </w:rPr>
      </w:pPr>
      <w:r>
        <w:rPr>
          <w:b/>
          <w:bCs/>
          <w:i/>
          <w:iCs/>
          <w:sz w:val="20"/>
          <w:szCs w:val="20"/>
        </w:rPr>
        <w:t xml:space="preserve">Proposal </w:t>
      </w:r>
      <w:r>
        <w:rPr>
          <w:rFonts w:hint="eastAsia"/>
          <w:b/>
          <w:bCs/>
          <w:i/>
          <w:iCs/>
          <w:sz w:val="20"/>
          <w:szCs w:val="20"/>
          <w:lang w:val="en-US" w:eastAsia="zh-CN"/>
        </w:rPr>
        <w:t>4</w:t>
      </w:r>
      <w:r>
        <w:rPr>
          <w:b/>
          <w:bCs/>
          <w:i/>
          <w:iCs/>
          <w:sz w:val="20"/>
          <w:szCs w:val="20"/>
        </w:rPr>
        <w:t>: For the new test case with new dedicated ATG requirement</w:t>
      </w:r>
      <w:r>
        <w:rPr>
          <w:rFonts w:hint="eastAsia"/>
          <w:b/>
          <w:bCs/>
          <w:i/>
          <w:iCs/>
          <w:sz w:val="20"/>
          <w:szCs w:val="20"/>
          <w:lang w:val="en-US" w:eastAsia="zh-CN"/>
        </w:rPr>
        <w:t>s</w:t>
      </w:r>
      <w:r>
        <w:rPr>
          <w:b/>
          <w:bCs/>
          <w:i/>
          <w:iCs/>
          <w:sz w:val="20"/>
          <w:szCs w:val="20"/>
        </w:rPr>
        <w:t xml:space="preserve">, </w:t>
      </w:r>
      <w:r>
        <w:rPr>
          <w:rFonts w:hint="eastAsia"/>
          <w:b/>
          <w:bCs/>
          <w:i/>
          <w:iCs/>
          <w:sz w:val="20"/>
          <w:szCs w:val="20"/>
          <w:lang w:val="en-US" w:eastAsia="zh-CN"/>
        </w:rPr>
        <w:t xml:space="preserve">the test metric only </w:t>
      </w:r>
      <w:r>
        <w:rPr>
          <w:b/>
          <w:bCs/>
          <w:i/>
          <w:iCs/>
          <w:sz w:val="20"/>
          <w:szCs w:val="20"/>
        </w:rPr>
        <w:t xml:space="preserve">cover </w:t>
      </w:r>
      <w:r>
        <w:rPr>
          <w:rFonts w:hint="eastAsia"/>
          <w:b/>
          <w:bCs/>
          <w:i/>
          <w:iCs/>
          <w:sz w:val="20"/>
          <w:szCs w:val="20"/>
          <w:lang w:val="en-US" w:eastAsia="zh-CN"/>
        </w:rPr>
        <w:t>SNR at 70% TP.</w:t>
      </w:r>
    </w:p>
    <w:p>
      <w:pPr>
        <w:keepNext w:val="0"/>
        <w:keepLines w:val="0"/>
        <w:pageBreakBefore w:val="0"/>
        <w:widowControl/>
        <w:kinsoku/>
        <w:wordWrap/>
        <w:overflowPunct/>
        <w:topLinePunct w:val="0"/>
        <w:autoSpaceDE/>
        <w:autoSpaceDN/>
        <w:bidi w:val="0"/>
        <w:adjustRightInd/>
        <w:snapToGrid/>
        <w:spacing w:before="157" w:beforeLines="50"/>
        <w:textAlignment w:val="auto"/>
        <w:rPr>
          <w:b/>
          <w:i/>
          <w:iCs/>
          <w:sz w:val="20"/>
          <w:szCs w:val="20"/>
          <w:u w:val="single"/>
          <w:lang w:eastAsia="ko-KR"/>
        </w:rPr>
      </w:pPr>
      <w:r>
        <w:rPr>
          <w:b/>
          <w:i/>
          <w:iCs/>
          <w:sz w:val="20"/>
          <w:szCs w:val="20"/>
          <w:u w:val="single"/>
          <w:lang w:eastAsia="ko-KR"/>
        </w:rPr>
        <w:t>Issue 3-1-1: Test scope for PUSCH</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Reuse the existing TN BS requirement and companies discuss which requirements can be taken as mandatory for ATG BS demodulation. Other features should be optional for the ATG BS and which cases can be tested should be based on BS manufacturer declaration</w:t>
      </w:r>
    </w:p>
    <w:p>
      <w:pPr>
        <w:pStyle w:val="75"/>
        <w:numPr>
          <w:ilvl w:val="1"/>
          <w:numId w:val="4"/>
        </w:numPr>
        <w:spacing w:after="120"/>
        <w:ind w:firstLineChars="0"/>
        <w:rPr>
          <w:rFonts w:eastAsia="宋体" w:cs="Times New Roman"/>
          <w:i/>
          <w:iCs/>
          <w:sz w:val="20"/>
          <w:szCs w:val="20"/>
        </w:rPr>
      </w:pPr>
      <w:r>
        <w:rPr>
          <w:rFonts w:eastAsia="宋体" w:cs="Times New Roman"/>
          <w:i/>
          <w:iCs/>
          <w:sz w:val="20"/>
          <w:szCs w:val="20"/>
        </w:rPr>
        <w:t>Candidate mandatory requirements</w:t>
      </w:r>
    </w:p>
    <w:p>
      <w:pPr>
        <w:pStyle w:val="75"/>
        <w:numPr>
          <w:ilvl w:val="2"/>
          <w:numId w:val="4"/>
        </w:numPr>
        <w:spacing w:after="120"/>
        <w:ind w:firstLineChars="0"/>
        <w:rPr>
          <w:rFonts w:eastAsia="宋体" w:cs="Times New Roman"/>
          <w:i/>
          <w:iCs/>
          <w:sz w:val="20"/>
          <w:szCs w:val="20"/>
        </w:rPr>
      </w:pPr>
      <w:r>
        <w:rPr>
          <w:rFonts w:eastAsia="宋体" w:cs="Times New Roman"/>
          <w:i/>
          <w:iCs/>
          <w:sz w:val="20"/>
          <w:szCs w:val="20"/>
        </w:rPr>
        <w:t>Normal PUSCH demodulation</w:t>
      </w:r>
    </w:p>
    <w:p>
      <w:pPr>
        <w:pStyle w:val="75"/>
        <w:numPr>
          <w:ilvl w:val="2"/>
          <w:numId w:val="4"/>
        </w:numPr>
        <w:spacing w:after="120"/>
        <w:ind w:firstLineChars="0"/>
        <w:rPr>
          <w:rFonts w:eastAsia="宋体" w:cs="Times New Roman"/>
          <w:i/>
          <w:iCs/>
          <w:sz w:val="20"/>
          <w:szCs w:val="20"/>
        </w:rPr>
      </w:pPr>
      <w:r>
        <w:rPr>
          <w:rFonts w:eastAsia="宋体" w:cs="Times New Roman"/>
          <w:i/>
          <w:iCs/>
          <w:sz w:val="20"/>
          <w:szCs w:val="20"/>
        </w:rPr>
        <w:t>UCI multiplexing on PUSCH</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Introduce new dedicated requirement with limited test cases for PUSCH, which only applied for BS declared to support ATG scenario.</w:t>
      </w:r>
    </w:p>
    <w:p>
      <w:pPr>
        <w:autoSpaceDN w:val="0"/>
        <w:spacing w:after="120"/>
        <w:rPr>
          <w:rFonts w:hint="default" w:eastAsia="宋体"/>
          <w:sz w:val="20"/>
          <w:szCs w:val="20"/>
          <w:lang w:val="en-US" w:eastAsia="zh-CN"/>
        </w:rPr>
      </w:pPr>
      <w:r>
        <w:rPr>
          <w:rFonts w:hint="eastAsia" w:eastAsia="宋体"/>
          <w:sz w:val="20"/>
          <w:szCs w:val="20"/>
          <w:lang w:val="en-US" w:eastAsia="zh-CN"/>
        </w:rPr>
        <w:t>We propose to introduce following new dedicated requirements for PUSCH, which only applied for BS declared to support ATG scenario. Due to the channel model is different for FDD and TDD, we propose to define separate requirements for FDD and TDD cases.</w:t>
      </w:r>
    </w:p>
    <w:p>
      <w:pPr>
        <w:numPr>
          <w:ilvl w:val="0"/>
          <w:numId w:val="4"/>
        </w:numPr>
        <w:spacing w:after="120"/>
        <w:rPr>
          <w:rFonts w:eastAsia="宋体"/>
          <w:sz w:val="20"/>
          <w:u w:val="none"/>
          <w:lang w:val="en-GB"/>
        </w:rPr>
      </w:pPr>
      <w:r>
        <w:rPr>
          <w:rFonts w:eastAsia="宋体"/>
          <w:sz w:val="20"/>
          <w:u w:val="none"/>
          <w:lang w:val="en-GB"/>
        </w:rPr>
        <w:t>New P</w:t>
      </w:r>
      <w:r>
        <w:rPr>
          <w:rFonts w:hint="eastAsia" w:eastAsia="宋体"/>
          <w:sz w:val="20"/>
          <w:u w:val="none"/>
          <w:lang w:val="en-US" w:eastAsia="zh-CN"/>
        </w:rPr>
        <w:t>U</w:t>
      </w:r>
      <w:r>
        <w:rPr>
          <w:rFonts w:eastAsia="宋体"/>
          <w:sz w:val="20"/>
          <w:u w:val="none"/>
          <w:lang w:val="en-GB"/>
        </w:rPr>
        <w:t>SCH test cases for ATG with FDD can be as follows.</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lang w:eastAsia="en-US"/>
              </w:rPr>
            </w:pPr>
            <w:r>
              <w:rPr>
                <w:rFonts w:eastAsia="Yu Mincho"/>
                <w:bCs/>
                <w:sz w:val="20"/>
                <w:szCs w:val="20"/>
                <w:u w:val="none"/>
              </w:rPr>
              <w:t>FDD</w:t>
            </w:r>
          </w:p>
          <w:p>
            <w:pPr>
              <w:jc w:val="center"/>
              <w:textAlignment w:val="baseline"/>
              <w:rPr>
                <w:rFonts w:eastAsia="Yu Mincho"/>
                <w:bCs/>
                <w:sz w:val="20"/>
                <w:szCs w:val="20"/>
                <w:u w:val="none"/>
              </w:rPr>
            </w:pPr>
            <w:r>
              <w:rPr>
                <w:rFonts w:hint="eastAsia" w:eastAsia="宋体"/>
                <w:bCs/>
                <w:sz w:val="20"/>
                <w:szCs w:val="20"/>
                <w:u w:val="none"/>
                <w:lang w:val="en-US" w:eastAsia="zh-CN"/>
              </w:rPr>
              <w:t>5</w:t>
            </w:r>
            <w:r>
              <w:rPr>
                <w:rFonts w:eastAsia="Yu Mincho"/>
                <w:bCs/>
                <w:sz w:val="20"/>
                <w:szCs w:val="20"/>
                <w:u w:val="none"/>
              </w:rPr>
              <w:t xml:space="preserve"> MHz 15kHz SCS</w:t>
            </w:r>
          </w:p>
          <w:p>
            <w:pPr>
              <w:jc w:val="center"/>
              <w:textAlignment w:val="baseline"/>
              <w:rPr>
                <w:rFonts w:hint="default" w:eastAsia="宋体"/>
                <w:bCs/>
                <w:sz w:val="20"/>
                <w:szCs w:val="20"/>
                <w:u w:val="none"/>
                <w:lang w:val="en-US" w:eastAsia="zh-CN"/>
              </w:rPr>
            </w:pPr>
            <w:r>
              <w:rPr>
                <w:rFonts w:hint="eastAsia" w:eastAsia="宋体"/>
                <w:b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hint="eastAsia" w:eastAsia="宋体"/>
                <w:bCs/>
                <w:sz w:val="20"/>
                <w:szCs w:val="20"/>
                <w:u w:val="none"/>
                <w:lang w:val="en-US" w:eastAsia="zh-CN"/>
              </w:rPr>
              <w:t>1</w:t>
            </w:r>
            <w:r>
              <w:rPr>
                <w:rFonts w:eastAsia="Yu Mincho"/>
                <w:b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none"/>
              </w:rPr>
            </w:pPr>
            <w:r>
              <w:rPr>
                <w:rFonts w:eastAsia="Yu Mincho"/>
                <w:bCs/>
                <w:sz w:val="20"/>
                <w:szCs w:val="20"/>
                <w:u w:val="none"/>
              </w:rPr>
              <w:t>16QAM (MCS [</w:t>
            </w:r>
            <w:r>
              <w:rPr>
                <w:rFonts w:hint="eastAsia" w:eastAsia="宋体"/>
                <w:bCs/>
                <w:sz w:val="20"/>
                <w:szCs w:val="20"/>
                <w:u w:val="none"/>
                <w:lang w:val="en-US" w:eastAsia="zh-CN"/>
              </w:rPr>
              <w:t>16</w:t>
            </w:r>
            <w:r>
              <w:rPr>
                <w:rFonts w:eastAsia="Yu Mincho"/>
                <w:b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none"/>
              </w:rPr>
            </w:pPr>
            <w:r>
              <w:rPr>
                <w:rFonts w:eastAsia="Yu Mincho"/>
                <w:bCs/>
                <w:sz w:val="20"/>
                <w:szCs w:val="20"/>
                <w:u w:val="none"/>
              </w:rPr>
              <w:t>64QAM (MCS [2</w:t>
            </w:r>
            <w:r>
              <w:rPr>
                <w:rFonts w:hint="eastAsia" w:eastAsia="宋体"/>
                <w:bCs/>
                <w:sz w:val="20"/>
                <w:szCs w:val="20"/>
                <w:u w:val="none"/>
                <w:lang w:val="en-US" w:eastAsia="zh-CN"/>
              </w:rPr>
              <w:t>8</w:t>
            </w:r>
            <w:r>
              <w:rPr>
                <w:rFonts w:eastAsia="Yu Mincho"/>
                <w:b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none"/>
              </w:rPr>
            </w:pPr>
            <w:r>
              <w:rPr>
                <w:rFonts w:eastAsia="Yu Mincho"/>
                <w:bCs/>
                <w:sz w:val="20"/>
                <w:szCs w:val="20"/>
                <w:u w:val="none"/>
              </w:rPr>
              <w:t>256QAM (MCS [2</w:t>
            </w:r>
            <w:r>
              <w:rPr>
                <w:rFonts w:hint="eastAsia" w:eastAsia="宋体"/>
                <w:bCs/>
                <w:sz w:val="20"/>
                <w:szCs w:val="20"/>
                <w:u w:val="none"/>
                <w:lang w:val="en-US" w:eastAsia="zh-CN"/>
              </w:rPr>
              <w:t>2</w:t>
            </w:r>
            <w:r>
              <w:rPr>
                <w:rFonts w:eastAsia="Yu Mincho"/>
                <w:bCs/>
                <w:sz w:val="20"/>
                <w:szCs w:val="20"/>
                <w:u w:val="none"/>
              </w:rPr>
              <w:t>] in table 2)</w:t>
            </w:r>
          </w:p>
        </w:tc>
      </w:tr>
    </w:tbl>
    <w:p>
      <w:pPr>
        <w:jc w:val="center"/>
        <w:rPr>
          <w:rFonts w:eastAsia="宋体"/>
          <w:bCs/>
          <w:sz w:val="20"/>
          <w:u w:val="none"/>
          <w:lang w:val="en-GB"/>
        </w:rPr>
      </w:pPr>
    </w:p>
    <w:p>
      <w:pPr>
        <w:numPr>
          <w:ilvl w:val="0"/>
          <w:numId w:val="4"/>
        </w:numPr>
        <w:spacing w:after="120"/>
        <w:rPr>
          <w:rFonts w:eastAsia="宋体"/>
          <w:sz w:val="20"/>
          <w:u w:val="none"/>
          <w:lang w:val="en-GB"/>
        </w:rPr>
      </w:pPr>
      <w:r>
        <w:rPr>
          <w:rFonts w:eastAsia="宋体"/>
          <w:sz w:val="20"/>
          <w:u w:val="none"/>
          <w:lang w:val="en-GB"/>
        </w:rPr>
        <w:t>New P</w:t>
      </w:r>
      <w:r>
        <w:rPr>
          <w:rFonts w:hint="eastAsia" w:eastAsia="宋体"/>
          <w:sz w:val="20"/>
          <w:u w:val="none"/>
          <w:lang w:val="en-US" w:eastAsia="zh-CN"/>
        </w:rPr>
        <w:t>U</w:t>
      </w:r>
      <w:r>
        <w:rPr>
          <w:rFonts w:eastAsia="宋体"/>
          <w:sz w:val="20"/>
          <w:u w:val="none"/>
          <w:lang w:val="en-GB"/>
        </w:rPr>
        <w:t>SCH test cases with static TDD slot pattern can be as follows (if introduced):</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right"/>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lang w:eastAsia="en-US"/>
              </w:rPr>
            </w:pPr>
            <w:r>
              <w:rPr>
                <w:rFonts w:eastAsia="Yu Mincho"/>
                <w:bCs/>
                <w:sz w:val="20"/>
                <w:szCs w:val="20"/>
                <w:u w:val="none"/>
              </w:rPr>
              <w:t>TDD</w:t>
            </w:r>
          </w:p>
          <w:p>
            <w:pPr>
              <w:jc w:val="center"/>
              <w:textAlignment w:val="baseline"/>
              <w:rPr>
                <w:rFonts w:eastAsia="Yu Mincho"/>
                <w:bCs/>
                <w:sz w:val="20"/>
                <w:szCs w:val="20"/>
                <w:u w:val="none"/>
              </w:rPr>
            </w:pPr>
            <w:r>
              <w:rPr>
                <w:rFonts w:hint="eastAsia"/>
                <w:bCs/>
                <w:sz w:val="20"/>
                <w:szCs w:val="20"/>
                <w:u w:val="none"/>
                <w:lang w:val="en-US" w:eastAsia="zh-CN"/>
              </w:rPr>
              <w:t>10</w:t>
            </w:r>
            <w:r>
              <w:rPr>
                <w:rFonts w:eastAsia="Yu Mincho"/>
                <w:bCs/>
                <w:sz w:val="20"/>
                <w:szCs w:val="20"/>
                <w:u w:val="none"/>
              </w:rPr>
              <w:t>MHz 30kHz SCS</w:t>
            </w:r>
          </w:p>
          <w:p>
            <w:pPr>
              <w:jc w:val="center"/>
              <w:textAlignment w:val="baseline"/>
              <w:rPr>
                <w:rFonts w:hint="default" w:eastAsia="宋体"/>
                <w:bCs/>
                <w:sz w:val="20"/>
                <w:szCs w:val="20"/>
                <w:u w:val="none"/>
                <w:lang w:val="en-US" w:eastAsia="zh-CN"/>
              </w:rPr>
            </w:pPr>
            <w:r>
              <w:rPr>
                <w:rFonts w:hint="eastAsia" w:eastAsia="宋体"/>
                <w:b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7D1S2U</w:t>
            </w:r>
          </w:p>
          <w:p>
            <w:pPr>
              <w:jc w:val="center"/>
              <w:textAlignment w:val="baseline"/>
              <w:rPr>
                <w:rFonts w:hint="eastAsia" w:eastAsia="宋体"/>
                <w:bCs/>
                <w:sz w:val="20"/>
                <w:szCs w:val="20"/>
                <w:u w:val="none"/>
                <w:lang w:val="en-US" w:eastAsia="zh-CN"/>
              </w:rPr>
            </w:pPr>
            <w:r>
              <w:rPr>
                <w:rFonts w:hint="eastAsia" w:eastAsia="宋体"/>
                <w:bCs/>
                <w:sz w:val="20"/>
                <w:szCs w:val="20"/>
                <w:u w:val="none"/>
                <w:lang w:val="en-US" w:eastAsia="zh-CN"/>
              </w:rPr>
              <w:t>&amp;</w:t>
            </w:r>
          </w:p>
          <w:p>
            <w:pPr>
              <w:jc w:val="center"/>
              <w:textAlignment w:val="baseline"/>
              <w:rPr>
                <w:rFonts w:eastAsia="Yu Mincho"/>
                <w:bCs/>
                <w:sz w:val="20"/>
                <w:szCs w:val="20"/>
                <w:u w:val="none"/>
              </w:rPr>
            </w:pPr>
            <w:r>
              <w:rPr>
                <w:rFonts w:hint="eastAsia" w:eastAsiaTheme="minorEastAsia"/>
                <w:bCs/>
                <w:sz w:val="20"/>
                <w:szCs w:val="20"/>
                <w:u w:val="none"/>
              </w:rPr>
              <w:t xml:space="preserve">FFS on new TDD pattern: </w:t>
            </w:r>
            <w:r>
              <w:rPr>
                <w:rFonts w:eastAsia="Yu Mincho"/>
                <w:b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hint="eastAsia" w:eastAsia="宋体"/>
                <w:bCs/>
                <w:sz w:val="20"/>
                <w:szCs w:val="20"/>
                <w:u w:val="none"/>
                <w:lang w:val="en-US" w:eastAsia="zh-CN"/>
              </w:rPr>
              <w:t>1</w:t>
            </w:r>
            <w:r>
              <w:rPr>
                <w:rFonts w:eastAsia="Yu Mincho"/>
                <w:b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16QAM (MCS [1</w:t>
            </w:r>
            <w:r>
              <w:rPr>
                <w:rFonts w:hint="eastAsia" w:eastAsia="宋体"/>
                <w:bCs/>
                <w:sz w:val="20"/>
                <w:szCs w:val="20"/>
                <w:u w:val="none"/>
                <w:lang w:val="en-US" w:eastAsia="zh-CN"/>
              </w:rPr>
              <w:t>6</w:t>
            </w:r>
            <w:r>
              <w:rPr>
                <w:rFonts w:eastAsia="Yu Mincho"/>
                <w:b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64QAM (MCS [2</w:t>
            </w:r>
            <w:r>
              <w:rPr>
                <w:rFonts w:hint="eastAsia" w:eastAsia="宋体"/>
                <w:bCs/>
                <w:sz w:val="20"/>
                <w:szCs w:val="20"/>
                <w:u w:val="none"/>
                <w:lang w:val="en-US" w:eastAsia="zh-CN"/>
              </w:rPr>
              <w:t>8</w:t>
            </w:r>
            <w:r>
              <w:rPr>
                <w:rFonts w:eastAsia="Yu Mincho"/>
                <w:b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256QAM (MCS [2</w:t>
            </w:r>
            <w:r>
              <w:rPr>
                <w:rFonts w:hint="eastAsia" w:eastAsia="宋体"/>
                <w:bCs/>
                <w:sz w:val="20"/>
                <w:szCs w:val="20"/>
                <w:u w:val="none"/>
                <w:lang w:val="en-US" w:eastAsia="zh-CN"/>
              </w:rPr>
              <w:t>2</w:t>
            </w:r>
            <w:r>
              <w:rPr>
                <w:rFonts w:eastAsia="Yu Mincho"/>
                <w:bCs/>
                <w:sz w:val="20"/>
                <w:szCs w:val="20"/>
                <w:u w:val="none"/>
              </w:rPr>
              <w:t>] in table 2)</w:t>
            </w:r>
          </w:p>
        </w:tc>
      </w:tr>
    </w:tbl>
    <w:p>
      <w:pPr>
        <w:autoSpaceDN w:val="0"/>
        <w:spacing w:after="120"/>
        <w:rPr>
          <w:rFonts w:hint="eastAsia" w:eastAsia="宋体"/>
          <w:sz w:val="20"/>
          <w:szCs w:val="20"/>
          <w:lang w:val="en-US" w:eastAsia="zh-CN"/>
        </w:rPr>
      </w:pPr>
    </w:p>
    <w:p>
      <w:pPr>
        <w:spacing w:before="60"/>
        <w:jc w:val="both"/>
        <w:rPr>
          <w:rFonts w:hint="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I</w:t>
      </w:r>
      <w:r>
        <w:rPr>
          <w:rFonts w:hint="eastAsia"/>
          <w:b/>
          <w:bCs/>
          <w:i/>
          <w:iCs/>
          <w:sz w:val="20"/>
          <w:szCs w:val="20"/>
        </w:rPr>
        <w:t>ntroduce following new dedicated requirements for PUSCH,</w:t>
      </w:r>
      <w:r>
        <w:rPr>
          <w:rFonts w:hint="eastAsia"/>
          <w:b/>
          <w:bCs/>
          <w:i/>
          <w:iCs/>
          <w:sz w:val="20"/>
          <w:szCs w:val="20"/>
          <w:lang w:val="en-US" w:eastAsia="zh-CN"/>
        </w:rPr>
        <w:t xml:space="preserve"> which are separately for FDD and TDD cases.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FDD</w:t>
            </w:r>
          </w:p>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5</w:t>
            </w:r>
            <w:r>
              <w:rPr>
                <w:rFonts w:eastAsia="Yu Mincho"/>
                <w:b/>
                <w:bCs w:val="0"/>
                <w:i/>
                <w:iCs/>
                <w:sz w:val="20"/>
                <w:szCs w:val="20"/>
                <w:u w:val="none"/>
              </w:rPr>
              <w:t xml:space="preserve"> MHz 15kHz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16QAM (MCS [</w:t>
            </w:r>
            <w:r>
              <w:rPr>
                <w:rFonts w:hint="eastAsia" w:eastAsia="宋体"/>
                <w:b/>
                <w:bCs w:val="0"/>
                <w:i/>
                <w:iCs/>
                <w:sz w:val="20"/>
                <w:szCs w:val="20"/>
                <w:u w:val="none"/>
                <w:lang w:val="en-US" w:eastAsia="zh-CN"/>
              </w:rPr>
              <w:t>16</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in table 2)</w:t>
            </w:r>
          </w:p>
        </w:tc>
      </w:tr>
    </w:tbl>
    <w:p>
      <w:pPr>
        <w:numPr>
          <w:ilvl w:val="0"/>
          <w:numId w:val="0"/>
        </w:numPr>
        <w:spacing w:after="120"/>
        <w:rPr>
          <w:rFonts w:eastAsia="宋体"/>
          <w:b/>
          <w:bCs w:val="0"/>
          <w:i/>
          <w:iCs/>
          <w:sz w:val="20"/>
          <w:u w:val="none"/>
          <w:lang w:val="en-GB"/>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TDD</w:t>
            </w:r>
          </w:p>
          <w:p>
            <w:pPr>
              <w:jc w:val="center"/>
              <w:textAlignment w:val="baseline"/>
              <w:rPr>
                <w:rFonts w:eastAsia="Yu Mincho"/>
                <w:b/>
                <w:bCs w:val="0"/>
                <w:i/>
                <w:iCs/>
                <w:sz w:val="20"/>
                <w:szCs w:val="20"/>
                <w:u w:val="none"/>
              </w:rPr>
            </w:pPr>
            <w:r>
              <w:rPr>
                <w:rFonts w:hint="eastAsia"/>
                <w:b/>
                <w:bCs w:val="0"/>
                <w:i/>
                <w:iCs/>
                <w:sz w:val="20"/>
                <w:szCs w:val="20"/>
                <w:u w:val="none"/>
                <w:lang w:val="en-US" w:eastAsia="zh-CN"/>
              </w:rPr>
              <w:t>10</w:t>
            </w:r>
            <w:r>
              <w:rPr>
                <w:rFonts w:eastAsia="Yu Mincho"/>
                <w:b/>
                <w:bCs w:val="0"/>
                <w:i/>
                <w:iCs/>
                <w:sz w:val="20"/>
                <w:szCs w:val="20"/>
                <w:u w:val="none"/>
              </w:rPr>
              <w:t>MHz 30kHz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7D1S2U</w:t>
            </w:r>
          </w:p>
          <w:p>
            <w:pPr>
              <w:jc w:val="center"/>
              <w:textAlignment w:val="baseline"/>
              <w:rPr>
                <w:rFonts w:hint="eastAsia" w:eastAsia="宋体"/>
                <w:b/>
                <w:bCs w:val="0"/>
                <w:i/>
                <w:iCs/>
                <w:sz w:val="20"/>
                <w:szCs w:val="20"/>
                <w:u w:val="none"/>
                <w:lang w:val="en-US" w:eastAsia="zh-CN"/>
              </w:rPr>
            </w:pPr>
            <w:r>
              <w:rPr>
                <w:rFonts w:hint="eastAsia" w:eastAsia="宋体"/>
                <w:b/>
                <w:bCs w:val="0"/>
                <w:i/>
                <w:iCs/>
                <w:sz w:val="20"/>
                <w:szCs w:val="20"/>
                <w:u w:val="none"/>
                <w:lang w:val="en-US" w:eastAsia="zh-CN"/>
              </w:rPr>
              <w:t>&amp;</w:t>
            </w:r>
          </w:p>
          <w:p>
            <w:pPr>
              <w:jc w:val="center"/>
              <w:textAlignment w:val="baseline"/>
              <w:rPr>
                <w:rFonts w:eastAsia="Yu Mincho"/>
                <w:b/>
                <w:bCs w:val="0"/>
                <w:i/>
                <w:iCs/>
                <w:sz w:val="20"/>
                <w:szCs w:val="20"/>
                <w:u w:val="none"/>
              </w:rPr>
            </w:pPr>
            <w:r>
              <w:rPr>
                <w:rFonts w:hint="eastAsia" w:eastAsiaTheme="minorEastAsia"/>
                <w:b/>
                <w:bCs w:val="0"/>
                <w:i/>
                <w:iCs/>
                <w:sz w:val="20"/>
                <w:szCs w:val="20"/>
                <w:u w:val="none"/>
              </w:rPr>
              <w:t xml:space="preserve">FFS on new TDD pattern: </w:t>
            </w:r>
            <w:r>
              <w:rPr>
                <w:rFonts w:eastAsia="Yu Mincho"/>
                <w:b/>
                <w:bCs w:val="0"/>
                <w:i/>
                <w:i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16QAM (MCS [1</w:t>
            </w:r>
            <w:r>
              <w:rPr>
                <w:rFonts w:hint="eastAsia" w:eastAsia="宋体"/>
                <w:b/>
                <w:bCs w:val="0"/>
                <w:i/>
                <w:iCs/>
                <w:sz w:val="20"/>
                <w:szCs w:val="20"/>
                <w:u w:val="none"/>
                <w:lang w:val="en-US" w:eastAsia="zh-CN"/>
              </w:rPr>
              <w:t>6</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in table 2)</w:t>
            </w:r>
          </w:p>
        </w:tc>
      </w:tr>
    </w:tbl>
    <w:p>
      <w:pPr>
        <w:spacing w:before="60"/>
        <w:jc w:val="both"/>
        <w:rPr>
          <w:rFonts w:hint="eastAsia"/>
          <w:b/>
          <w:bCs/>
          <w:i/>
          <w:iCs/>
          <w:sz w:val="20"/>
          <w:szCs w:val="20"/>
          <w:lang w:val="en-US" w:eastAsia="zh-CN"/>
        </w:rPr>
      </w:pPr>
    </w:p>
    <w:p>
      <w:pPr>
        <w:autoSpaceDN w:val="0"/>
        <w:spacing w:after="120"/>
        <w:rPr>
          <w:rFonts w:hint="eastAsia" w:eastAsia="宋体"/>
          <w:sz w:val="20"/>
          <w:szCs w:val="20"/>
          <w:lang w:val="en-US" w:eastAsia="zh-CN"/>
        </w:rPr>
      </w:pPr>
      <w:r>
        <w:rPr>
          <w:rFonts w:hint="eastAsia" w:eastAsia="宋体"/>
          <w:sz w:val="20"/>
          <w:szCs w:val="20"/>
          <w:lang w:val="en-US" w:eastAsia="zh-CN"/>
        </w:rPr>
        <w:t>For the test case which reusing exiting requirement, which requirements should be taken as mandatory for ATG BS demodulation are FFS.</w:t>
      </w:r>
    </w:p>
    <w:p>
      <w:pPr>
        <w:autoSpaceDN w:val="0"/>
        <w:spacing w:after="120"/>
        <w:rPr>
          <w:rFonts w:hint="eastAsia" w:eastAsia="宋体"/>
          <w:sz w:val="20"/>
          <w:szCs w:val="20"/>
          <w:lang w:val="en-US" w:eastAsia="zh-CN"/>
        </w:rPr>
      </w:pPr>
      <w:r>
        <w:rPr>
          <w:rFonts w:hint="eastAsia" w:eastAsia="宋体"/>
          <w:sz w:val="20"/>
          <w:szCs w:val="20"/>
          <w:lang w:val="en-US" w:eastAsia="zh-CN"/>
        </w:rPr>
        <w:t>In our view, the normal PUSCH with transform precoding disabled demodulation requirements in Clause 8.2.1 and the requirements for UCI multiplexing on PUSCH in Clause 8.2.3 should be reused.</w:t>
      </w:r>
    </w:p>
    <w:p>
      <w:pPr>
        <w:autoSpaceDN w:val="0"/>
        <w:spacing w:after="120"/>
        <w:rPr>
          <w:rFonts w:hint="eastAsia" w:eastAsia="宋体"/>
          <w:b/>
          <w:bCs/>
          <w:i/>
          <w:iCs/>
          <w:sz w:val="20"/>
          <w:szCs w:val="20"/>
          <w:lang w:val="en-US" w:eastAsia="zh-CN"/>
        </w:rPr>
      </w:pPr>
      <w:bookmarkStart w:id="9" w:name="_Toc134705580"/>
      <w:r>
        <w:rPr>
          <w:b/>
          <w:bCs/>
          <w:i/>
          <w:iCs/>
          <w:sz w:val="20"/>
          <w:szCs w:val="20"/>
        </w:rPr>
        <w:t xml:space="preserve">Proposal </w:t>
      </w:r>
      <w:r>
        <w:rPr>
          <w:rFonts w:hint="eastAsia"/>
          <w:b/>
          <w:bCs/>
          <w:i/>
          <w:iCs/>
          <w:sz w:val="20"/>
          <w:szCs w:val="20"/>
          <w:lang w:val="en-US" w:eastAsia="zh-CN"/>
        </w:rPr>
        <w:t>6</w:t>
      </w:r>
      <w:r>
        <w:rPr>
          <w:b/>
          <w:bCs/>
          <w:i/>
          <w:iCs/>
          <w:sz w:val="20"/>
          <w:szCs w:val="20"/>
        </w:rPr>
        <w:t>:</w:t>
      </w:r>
      <w:r>
        <w:rPr>
          <w:rFonts w:hint="eastAsia"/>
          <w:b/>
          <w:bCs/>
          <w:i/>
          <w:iCs/>
          <w:sz w:val="20"/>
          <w:szCs w:val="20"/>
          <w:lang w:val="en-US" w:eastAsia="zh-CN"/>
        </w:rPr>
        <w:t xml:space="preserve"> For </w:t>
      </w:r>
      <w:r>
        <w:rPr>
          <w:b/>
          <w:bCs/>
          <w:i/>
          <w:iCs/>
          <w:sz w:val="20"/>
          <w:szCs w:val="20"/>
        </w:rPr>
        <w:t>the existing TN BS requirement</w:t>
      </w:r>
      <w:r>
        <w:rPr>
          <w:rFonts w:hint="eastAsia"/>
          <w:b/>
          <w:bCs/>
          <w:i/>
          <w:iCs/>
          <w:sz w:val="20"/>
          <w:szCs w:val="20"/>
          <w:lang w:val="en-US" w:eastAsia="zh-CN"/>
        </w:rPr>
        <w:t xml:space="preserve"> reused for ATG, the mandatory require</w:t>
      </w:r>
      <w:r>
        <w:rPr>
          <w:rFonts w:hint="eastAsia" w:eastAsia="宋体"/>
          <w:b/>
          <w:bCs/>
          <w:i/>
          <w:iCs/>
          <w:sz w:val="20"/>
          <w:szCs w:val="20"/>
          <w:lang w:val="en-US" w:eastAsia="zh-CN"/>
        </w:rPr>
        <w:t>ments for ATG should contain normal PUSCH with transform precoding disabled demodulation requirements in Clause 8.2.1 and the requirements for UCI multiplexing on PUSCH in Clause 8.2.3</w:t>
      </w:r>
    </w:p>
    <w:p>
      <w:pPr>
        <w:pStyle w:val="82"/>
      </w:pPr>
    </w:p>
    <w:bookmarkEnd w:id="8"/>
    <w:bookmarkEnd w:id="9"/>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spacing w:before="60"/>
        <w:jc w:val="both"/>
        <w:rPr>
          <w:rFonts w:hint="default"/>
          <w:b/>
          <w:bCs/>
          <w:i/>
          <w:iCs/>
          <w:sz w:val="20"/>
          <w:szCs w:val="20"/>
          <w:lang w:val="en-US" w:eastAsia="zh-CN"/>
        </w:rPr>
      </w:pPr>
      <w:r>
        <w:rPr>
          <w:b/>
          <w:bCs/>
          <w:i/>
          <w:iCs/>
          <w:sz w:val="20"/>
          <w:szCs w:val="20"/>
        </w:rPr>
        <w:t xml:space="preserve">Proposal 1: For the test case which reusing existing requirements, cover </w:t>
      </w:r>
      <w:r>
        <w:rPr>
          <w:rFonts w:hint="eastAsia"/>
          <w:b/>
          <w:bCs/>
          <w:i/>
          <w:iCs/>
          <w:sz w:val="20"/>
          <w:szCs w:val="20"/>
          <w:lang w:val="en-US" w:eastAsia="zh-CN"/>
        </w:rPr>
        <w:t>256QAM.</w:t>
      </w:r>
    </w:p>
    <w:p>
      <w:pPr>
        <w:spacing w:before="60"/>
        <w:jc w:val="both"/>
        <w:rPr>
          <w:rFonts w:hint="eastAsia"/>
          <w:sz w:val="20"/>
          <w:szCs w:val="20"/>
          <w:lang w:val="en-US" w:eastAsia="zh-CN"/>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For the new test case with new dedicated ATG requirement, cover </w:t>
      </w:r>
      <w:r>
        <w:rPr>
          <w:rFonts w:hint="eastAsia"/>
          <w:b/>
          <w:bCs/>
          <w:i/>
          <w:iCs/>
          <w:sz w:val="20"/>
          <w:szCs w:val="20"/>
          <w:lang w:val="en-US" w:eastAsia="zh-CN"/>
        </w:rPr>
        <w:t>256QAM, MCS 22 in table 2 is preferred.</w:t>
      </w:r>
    </w:p>
    <w:p>
      <w:pPr>
        <w:spacing w:before="60"/>
        <w:jc w:val="both"/>
        <w:rPr>
          <w:rFonts w:hint="default"/>
          <w:b/>
          <w:bCs/>
          <w:i/>
          <w:iCs/>
          <w:sz w:val="20"/>
          <w:szCs w:val="20"/>
          <w:lang w:val="en-US" w:eastAsia="zh-CN"/>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For the test case which reusing existing requirements, </w:t>
      </w:r>
      <w:r>
        <w:rPr>
          <w:rFonts w:hint="eastAsia"/>
          <w:b/>
          <w:bCs/>
          <w:i/>
          <w:iCs/>
          <w:sz w:val="20"/>
          <w:szCs w:val="20"/>
          <w:lang w:val="en-US" w:eastAsia="zh-CN"/>
        </w:rPr>
        <w:t xml:space="preserve">the test metric </w:t>
      </w:r>
      <w:r>
        <w:rPr>
          <w:b/>
          <w:bCs/>
          <w:i/>
          <w:iCs/>
          <w:sz w:val="20"/>
          <w:szCs w:val="20"/>
        </w:rPr>
        <w:t xml:space="preserve">cover </w:t>
      </w:r>
      <w:r>
        <w:rPr>
          <w:rFonts w:hint="eastAsia"/>
          <w:b/>
          <w:bCs/>
          <w:i/>
          <w:iCs/>
          <w:sz w:val="20"/>
          <w:szCs w:val="20"/>
          <w:lang w:val="en-US" w:eastAsia="zh-CN"/>
        </w:rPr>
        <w:t>SNR at 70% and 30% TP.</w:t>
      </w:r>
    </w:p>
    <w:p>
      <w:pPr>
        <w:spacing w:before="60"/>
        <w:jc w:val="both"/>
        <w:rPr>
          <w:rFonts w:hint="eastAsia"/>
          <w:sz w:val="20"/>
          <w:szCs w:val="20"/>
          <w:lang w:val="en-US" w:eastAsia="zh-CN"/>
        </w:rPr>
      </w:pPr>
      <w:r>
        <w:rPr>
          <w:b/>
          <w:bCs/>
          <w:i/>
          <w:iCs/>
          <w:sz w:val="20"/>
          <w:szCs w:val="20"/>
        </w:rPr>
        <w:t xml:space="preserve">Proposal </w:t>
      </w:r>
      <w:r>
        <w:rPr>
          <w:rFonts w:hint="eastAsia"/>
          <w:b/>
          <w:bCs/>
          <w:i/>
          <w:iCs/>
          <w:sz w:val="20"/>
          <w:szCs w:val="20"/>
          <w:lang w:val="en-US" w:eastAsia="zh-CN"/>
        </w:rPr>
        <w:t>4</w:t>
      </w:r>
      <w:r>
        <w:rPr>
          <w:b/>
          <w:bCs/>
          <w:i/>
          <w:iCs/>
          <w:sz w:val="20"/>
          <w:szCs w:val="20"/>
        </w:rPr>
        <w:t>: For the new test case with new dedicated ATG requirement</w:t>
      </w:r>
      <w:r>
        <w:rPr>
          <w:rFonts w:hint="eastAsia"/>
          <w:b/>
          <w:bCs/>
          <w:i/>
          <w:iCs/>
          <w:sz w:val="20"/>
          <w:szCs w:val="20"/>
          <w:lang w:val="en-US" w:eastAsia="zh-CN"/>
        </w:rPr>
        <w:t>s</w:t>
      </w:r>
      <w:bookmarkStart w:id="10" w:name="_GoBack"/>
      <w:bookmarkEnd w:id="10"/>
      <w:r>
        <w:rPr>
          <w:b/>
          <w:bCs/>
          <w:i/>
          <w:iCs/>
          <w:sz w:val="20"/>
          <w:szCs w:val="20"/>
        </w:rPr>
        <w:t xml:space="preserve">, </w:t>
      </w:r>
      <w:r>
        <w:rPr>
          <w:rFonts w:hint="eastAsia"/>
          <w:b/>
          <w:bCs/>
          <w:i/>
          <w:iCs/>
          <w:sz w:val="20"/>
          <w:szCs w:val="20"/>
          <w:lang w:val="en-US" w:eastAsia="zh-CN"/>
        </w:rPr>
        <w:t xml:space="preserve">the test metric only </w:t>
      </w:r>
      <w:r>
        <w:rPr>
          <w:b/>
          <w:bCs/>
          <w:i/>
          <w:iCs/>
          <w:sz w:val="20"/>
          <w:szCs w:val="20"/>
        </w:rPr>
        <w:t xml:space="preserve">cover </w:t>
      </w:r>
      <w:r>
        <w:rPr>
          <w:rFonts w:hint="eastAsia"/>
          <w:b/>
          <w:bCs/>
          <w:i/>
          <w:iCs/>
          <w:sz w:val="20"/>
          <w:szCs w:val="20"/>
          <w:lang w:val="en-US" w:eastAsia="zh-CN"/>
        </w:rPr>
        <w:t>SNR at 70% TP.</w:t>
      </w:r>
    </w:p>
    <w:p>
      <w:pPr>
        <w:spacing w:before="60"/>
        <w:jc w:val="both"/>
        <w:rPr>
          <w:rFonts w:hint="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I</w:t>
      </w:r>
      <w:r>
        <w:rPr>
          <w:rFonts w:hint="eastAsia"/>
          <w:b/>
          <w:bCs/>
          <w:i/>
          <w:iCs/>
          <w:sz w:val="20"/>
          <w:szCs w:val="20"/>
        </w:rPr>
        <w:t>ntroduce following new dedicated requirements for PUSCH,</w:t>
      </w:r>
      <w:r>
        <w:rPr>
          <w:rFonts w:hint="eastAsia"/>
          <w:b/>
          <w:bCs/>
          <w:i/>
          <w:iCs/>
          <w:sz w:val="20"/>
          <w:szCs w:val="20"/>
          <w:lang w:val="en-US" w:eastAsia="zh-CN"/>
        </w:rPr>
        <w:t xml:space="preserve"> which are separately for FDD and TDD cases.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FDD</w:t>
            </w:r>
          </w:p>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5</w:t>
            </w:r>
            <w:r>
              <w:rPr>
                <w:rFonts w:eastAsia="Yu Mincho"/>
                <w:b/>
                <w:bCs w:val="0"/>
                <w:i/>
                <w:iCs/>
                <w:sz w:val="20"/>
                <w:szCs w:val="20"/>
                <w:u w:val="none"/>
              </w:rPr>
              <w:t xml:space="preserve"> MHz 15kHz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16QAM (MCS [</w:t>
            </w:r>
            <w:r>
              <w:rPr>
                <w:rFonts w:hint="eastAsia" w:eastAsia="宋体"/>
                <w:b/>
                <w:bCs w:val="0"/>
                <w:i/>
                <w:iCs/>
                <w:sz w:val="20"/>
                <w:szCs w:val="20"/>
                <w:u w:val="none"/>
                <w:lang w:val="en-US" w:eastAsia="zh-CN"/>
              </w:rPr>
              <w:t>16</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in table 2)</w:t>
            </w:r>
          </w:p>
        </w:tc>
      </w:tr>
    </w:tbl>
    <w:p>
      <w:pPr>
        <w:numPr>
          <w:ilvl w:val="0"/>
          <w:numId w:val="0"/>
        </w:numPr>
        <w:spacing w:after="120"/>
        <w:rPr>
          <w:rFonts w:eastAsia="宋体"/>
          <w:b/>
          <w:bCs w:val="0"/>
          <w:i/>
          <w:iCs/>
          <w:sz w:val="20"/>
          <w:u w:val="none"/>
          <w:lang w:val="en-GB"/>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TDD</w:t>
            </w:r>
          </w:p>
          <w:p>
            <w:pPr>
              <w:jc w:val="center"/>
              <w:textAlignment w:val="baseline"/>
              <w:rPr>
                <w:rFonts w:eastAsia="Yu Mincho"/>
                <w:b/>
                <w:bCs w:val="0"/>
                <w:i/>
                <w:iCs/>
                <w:sz w:val="20"/>
                <w:szCs w:val="20"/>
                <w:u w:val="none"/>
              </w:rPr>
            </w:pPr>
            <w:r>
              <w:rPr>
                <w:rFonts w:hint="eastAsia"/>
                <w:b/>
                <w:bCs w:val="0"/>
                <w:i/>
                <w:iCs/>
                <w:sz w:val="20"/>
                <w:szCs w:val="20"/>
                <w:u w:val="none"/>
                <w:lang w:val="en-US" w:eastAsia="zh-CN"/>
              </w:rPr>
              <w:t>10</w:t>
            </w:r>
            <w:r>
              <w:rPr>
                <w:rFonts w:eastAsia="Yu Mincho"/>
                <w:b/>
                <w:bCs w:val="0"/>
                <w:i/>
                <w:iCs/>
                <w:sz w:val="20"/>
                <w:szCs w:val="20"/>
                <w:u w:val="none"/>
              </w:rPr>
              <w:t>MHz 30kHz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7D1S2U</w:t>
            </w:r>
          </w:p>
          <w:p>
            <w:pPr>
              <w:jc w:val="center"/>
              <w:textAlignment w:val="baseline"/>
              <w:rPr>
                <w:rFonts w:hint="eastAsia" w:eastAsia="宋体"/>
                <w:b/>
                <w:bCs w:val="0"/>
                <w:i/>
                <w:iCs/>
                <w:sz w:val="20"/>
                <w:szCs w:val="20"/>
                <w:u w:val="none"/>
                <w:lang w:val="en-US" w:eastAsia="zh-CN"/>
              </w:rPr>
            </w:pPr>
            <w:r>
              <w:rPr>
                <w:rFonts w:hint="eastAsia" w:eastAsia="宋体"/>
                <w:b/>
                <w:bCs w:val="0"/>
                <w:i/>
                <w:iCs/>
                <w:sz w:val="20"/>
                <w:szCs w:val="20"/>
                <w:u w:val="none"/>
                <w:lang w:val="en-US" w:eastAsia="zh-CN"/>
              </w:rPr>
              <w:t>&amp;</w:t>
            </w:r>
          </w:p>
          <w:p>
            <w:pPr>
              <w:jc w:val="center"/>
              <w:textAlignment w:val="baseline"/>
              <w:rPr>
                <w:rFonts w:eastAsia="Yu Mincho"/>
                <w:b/>
                <w:bCs w:val="0"/>
                <w:i/>
                <w:iCs/>
                <w:sz w:val="20"/>
                <w:szCs w:val="20"/>
                <w:u w:val="none"/>
              </w:rPr>
            </w:pPr>
            <w:r>
              <w:rPr>
                <w:rFonts w:hint="eastAsia" w:eastAsiaTheme="minorEastAsia"/>
                <w:b/>
                <w:bCs w:val="0"/>
                <w:i/>
                <w:iCs/>
                <w:sz w:val="20"/>
                <w:szCs w:val="20"/>
                <w:u w:val="none"/>
              </w:rPr>
              <w:t xml:space="preserve">FFS on new TDD pattern: </w:t>
            </w:r>
            <w:r>
              <w:rPr>
                <w:rFonts w:eastAsia="Yu Mincho"/>
                <w:b/>
                <w:bCs w:val="0"/>
                <w:i/>
                <w:i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16QAM (MCS [1</w:t>
            </w:r>
            <w:r>
              <w:rPr>
                <w:rFonts w:hint="eastAsia" w:eastAsia="宋体"/>
                <w:b/>
                <w:bCs w:val="0"/>
                <w:i/>
                <w:iCs/>
                <w:sz w:val="20"/>
                <w:szCs w:val="20"/>
                <w:u w:val="none"/>
                <w:lang w:val="en-US" w:eastAsia="zh-CN"/>
              </w:rPr>
              <w:t>6</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in table 2)</w:t>
            </w:r>
          </w:p>
        </w:tc>
      </w:tr>
    </w:tbl>
    <w:p>
      <w:pPr>
        <w:autoSpaceDN w:val="0"/>
        <w:spacing w:after="120"/>
        <w:rPr>
          <w:rFonts w:hint="eastAsia" w:eastAsia="宋体"/>
          <w:b/>
          <w:bCs/>
          <w:i/>
          <w:iCs/>
          <w:sz w:val="20"/>
          <w:szCs w:val="20"/>
          <w:lang w:val="en-US" w:eastAsia="zh-CN"/>
        </w:rPr>
      </w:pPr>
      <w:r>
        <w:rPr>
          <w:b/>
          <w:bCs/>
          <w:i/>
          <w:iCs/>
          <w:sz w:val="20"/>
          <w:szCs w:val="20"/>
        </w:rPr>
        <w:t xml:space="preserve">Proposal </w:t>
      </w:r>
      <w:r>
        <w:rPr>
          <w:rFonts w:hint="eastAsia"/>
          <w:b/>
          <w:bCs/>
          <w:i/>
          <w:iCs/>
          <w:sz w:val="20"/>
          <w:szCs w:val="20"/>
          <w:lang w:val="en-US" w:eastAsia="zh-CN"/>
        </w:rPr>
        <w:t>6</w:t>
      </w:r>
      <w:r>
        <w:rPr>
          <w:b/>
          <w:bCs/>
          <w:i/>
          <w:iCs/>
          <w:sz w:val="20"/>
          <w:szCs w:val="20"/>
        </w:rPr>
        <w:t>:</w:t>
      </w:r>
      <w:r>
        <w:rPr>
          <w:rFonts w:hint="eastAsia"/>
          <w:b/>
          <w:bCs/>
          <w:i/>
          <w:iCs/>
          <w:sz w:val="20"/>
          <w:szCs w:val="20"/>
          <w:lang w:val="en-US" w:eastAsia="zh-CN"/>
        </w:rPr>
        <w:t xml:space="preserve"> For </w:t>
      </w:r>
      <w:r>
        <w:rPr>
          <w:b/>
          <w:bCs/>
          <w:i/>
          <w:iCs/>
          <w:sz w:val="20"/>
          <w:szCs w:val="20"/>
        </w:rPr>
        <w:t>the existing TN BS requirement</w:t>
      </w:r>
      <w:r>
        <w:rPr>
          <w:rFonts w:hint="eastAsia"/>
          <w:b/>
          <w:bCs/>
          <w:i/>
          <w:iCs/>
          <w:sz w:val="20"/>
          <w:szCs w:val="20"/>
          <w:lang w:val="en-US" w:eastAsia="zh-CN"/>
        </w:rPr>
        <w:t xml:space="preserve"> reused for ATG, the mandatory require</w:t>
      </w:r>
      <w:r>
        <w:rPr>
          <w:rFonts w:hint="eastAsia" w:eastAsia="宋体"/>
          <w:b/>
          <w:bCs/>
          <w:i/>
          <w:iCs/>
          <w:sz w:val="20"/>
          <w:szCs w:val="20"/>
          <w:lang w:val="en-US" w:eastAsia="zh-CN"/>
        </w:rPr>
        <w:t>ments for ATG should contain normal PUSCH with transform precoding disabled demodulation requirements in Clause 8.2.1 and the requirements for UCI multiplexing on PUSCH in Clause 8.2.3</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w:t>
      </w:r>
      <w:r>
        <w:t xml:space="preserve"> </w:t>
      </w:r>
      <w:r>
        <w:rPr>
          <w:sz w:val="20"/>
          <w:szCs w:val="20"/>
          <w:lang w:val="en-GB"/>
        </w:rPr>
        <w:t>R4-230</w:t>
      </w:r>
      <w:r>
        <w:rPr>
          <w:rFonts w:hint="eastAsia"/>
          <w:sz w:val="20"/>
          <w:szCs w:val="20"/>
          <w:lang w:val="en-GB"/>
        </w:rPr>
        <w:t>9796</w:t>
      </w:r>
      <w:r>
        <w:rPr>
          <w:sz w:val="20"/>
          <w:szCs w:val="20"/>
          <w:lang w:val="en-GB"/>
        </w:rPr>
        <w:t>, WF for ATG demodulation requirements, CMCC.</w:t>
      </w:r>
    </w:p>
    <w:p>
      <w:pPr>
        <w:rPr>
          <w:sz w:val="20"/>
          <w:szCs w:val="20"/>
          <w:lang w:val="en-GB"/>
        </w:rPr>
      </w:pPr>
      <w:r>
        <w:rPr>
          <w:rFonts w:hint="eastAsia"/>
          <w:sz w:val="20"/>
          <w:szCs w:val="20"/>
          <w:lang w:val="en-GB"/>
        </w:rPr>
        <w:t>[</w:t>
      </w:r>
      <w:r>
        <w:rPr>
          <w:sz w:val="20"/>
          <w:szCs w:val="20"/>
          <w:lang w:val="en-GB"/>
        </w:rPr>
        <w:t>2] R4-23</w:t>
      </w:r>
      <w:r>
        <w:rPr>
          <w:rFonts w:hint="eastAsia"/>
          <w:sz w:val="20"/>
          <w:szCs w:val="20"/>
          <w:lang w:val="en-US" w:eastAsia="zh-CN"/>
        </w:rPr>
        <w:t>11799</w:t>
      </w:r>
      <w:r>
        <w:rPr>
          <w:sz w:val="20"/>
          <w:szCs w:val="20"/>
          <w:lang w:val="en-GB"/>
        </w:rPr>
        <w:t>, Simulation results for ATG PUSCH demodulation,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C031150"/>
    <w:rsid w:val="14095135"/>
    <w:rsid w:val="1CA41DF6"/>
    <w:rsid w:val="1E611F29"/>
    <w:rsid w:val="24231158"/>
    <w:rsid w:val="29D96DE6"/>
    <w:rsid w:val="2F435E75"/>
    <w:rsid w:val="348D1EBF"/>
    <w:rsid w:val="34FF4619"/>
    <w:rsid w:val="48DF3E68"/>
    <w:rsid w:val="547728AF"/>
    <w:rsid w:val="549A20E2"/>
    <w:rsid w:val="569B70A9"/>
    <w:rsid w:val="57B1507D"/>
    <w:rsid w:val="73703706"/>
    <w:rsid w:val="7AD51A33"/>
    <w:rsid w:val="7C36041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8</TotalTime>
  <ScaleCrop>false</ScaleCrop>
  <LinksUpToDate>false</LinksUpToDate>
  <CharactersWithSpaces>12067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2023-08-11T08:11:15Z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F61112A40FB1461AA46DAAB2A278F284</vt:lpwstr>
  </property>
</Properties>
</file>